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8D1E7F"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 xml:space="preserve">AUGUST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sidR="002361F1">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sidR="002361F1">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2361F1">
        <w:rPr>
          <w:rFonts w:ascii="Palatino Linotype" w:hAnsi="Palatino Linotype"/>
          <w:b/>
          <w:color w:val="FF0000"/>
          <w:sz w:val="22"/>
          <w:szCs w:val="22"/>
        </w:rPr>
        <w:t>0</w:t>
      </w:r>
      <w:r>
        <w:rPr>
          <w:rFonts w:ascii="Palatino Linotype" w:hAnsi="Palatino Linotype"/>
          <w:b/>
          <w:color w:val="FF0000"/>
          <w:sz w:val="22"/>
          <w:szCs w:val="22"/>
        </w:rPr>
        <w:t>8</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7"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8"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1136" w:rsidRDefault="00D73337" w:rsidP="00A36146">
      <w:pPr>
        <w:spacing w:line="20" w:lineRule="atLeast"/>
        <w:jc w:val="both"/>
        <w:rPr>
          <w:rFonts w:ascii="Palatino Linotype" w:hAnsi="Palatino Linotype"/>
          <w:b/>
          <w:color w:val="0000FF"/>
          <w:sz w:val="22"/>
          <w:szCs w:val="22"/>
        </w:rPr>
      </w:pPr>
      <w:r>
        <w:rPr>
          <w:rFonts w:ascii="Palatino Linotype" w:hAnsi="Palatino Linotype"/>
          <w:b/>
          <w:color w:val="0000FF"/>
          <w:sz w:val="22"/>
          <w:szCs w:val="22"/>
        </w:rPr>
        <w:t>CHAIRMAN’S SPEECH</w:t>
      </w:r>
    </w:p>
    <w:p w:rsidR="00D73337" w:rsidRDefault="00D73337" w:rsidP="00F81232">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E51198" w:rsidRPr="00E51198" w:rsidRDefault="00E51198" w:rsidP="00E51198">
      <w:pPr>
        <w:jc w:val="center"/>
        <w:rPr>
          <w:rFonts w:ascii="Palatino Linotype" w:hAnsi="Palatino Linotype" w:cs="Arial"/>
          <w:b/>
          <w:lang w:val="en-IN"/>
        </w:rPr>
      </w:pPr>
      <w:r w:rsidRPr="00E51198">
        <w:rPr>
          <w:rFonts w:ascii="Palatino Linotype" w:hAnsi="Palatino Linotype" w:cs="Arial"/>
          <w:b/>
          <w:lang w:val="en-IN"/>
        </w:rPr>
        <w:lastRenderedPageBreak/>
        <w:t>KEY NOTE ADDRESS BY CHAIRMAN, SEBI</w:t>
      </w:r>
    </w:p>
    <w:p w:rsidR="00E51198" w:rsidRPr="00E51198" w:rsidRDefault="00E51198" w:rsidP="00E51198">
      <w:pPr>
        <w:jc w:val="center"/>
        <w:rPr>
          <w:rFonts w:ascii="Palatino Linotype" w:hAnsi="Palatino Linotype" w:cs="Arial"/>
          <w:b/>
          <w:lang w:val="en-IN"/>
        </w:rPr>
      </w:pPr>
      <w:r w:rsidRPr="00E51198">
        <w:rPr>
          <w:rFonts w:ascii="Palatino Linotype" w:hAnsi="Palatino Linotype" w:cs="Arial"/>
          <w:b/>
          <w:lang w:val="en-IN"/>
        </w:rPr>
        <w:t>AT NISM’s SECOND ANNUAL CAPTIAL MARKETS CONFERENCE 2021</w:t>
      </w:r>
    </w:p>
    <w:p w:rsidR="00E51198" w:rsidRPr="00E51198" w:rsidRDefault="00E51198" w:rsidP="00E51198">
      <w:pPr>
        <w:jc w:val="center"/>
        <w:rPr>
          <w:rFonts w:ascii="Palatino Linotype" w:hAnsi="Palatino Linotype" w:cs="Arial"/>
          <w:b/>
          <w:lang w:val="en-IN"/>
        </w:rPr>
      </w:pPr>
      <w:r w:rsidRPr="00E51198">
        <w:rPr>
          <w:rFonts w:ascii="Palatino Linotype" w:hAnsi="Palatino Linotype" w:cs="Arial"/>
          <w:b/>
          <w:lang w:val="en-IN"/>
        </w:rPr>
        <w:t>ON JULY 22, 2021</w:t>
      </w:r>
    </w:p>
    <w:p w:rsidR="00E51198" w:rsidRPr="00E51198" w:rsidRDefault="00E51198" w:rsidP="00E51198">
      <w:pPr>
        <w:jc w:val="center"/>
        <w:rPr>
          <w:rFonts w:ascii="Palatino Linotype" w:hAnsi="Palatino Linotype" w:cs="Arial"/>
          <w:b/>
          <w:lang w:val="en-IN"/>
        </w:rPr>
      </w:pP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Good morning, distinguished guests, members of the faculty and dear Students!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 xml:space="preserve">At the outset, I compliment NISM for organizing this Conference and thank them for inviting me to address it.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 xml:space="preserve">The theme of the Conference – “Investor interest and innovative instruments” is quite topical. The year gone by has seen overwhelming participation by retail investors in the Indian securities market. The task before us is to sustain growing investors’ interest by maintaining market integrity, simplifying processes, ensuring proper and robust risk management, introducing new products and increasing awareness.  </w:t>
      </w:r>
    </w:p>
    <w:p w:rsidR="00E51198" w:rsidRPr="00E51198" w:rsidRDefault="00E51198" w:rsidP="00E51198">
      <w:pPr>
        <w:pStyle w:val="Default"/>
        <w:numPr>
          <w:ilvl w:val="0"/>
          <w:numId w:val="48"/>
        </w:numPr>
        <w:pBdr>
          <w:top w:val="nil"/>
          <w:left w:val="nil"/>
          <w:bottom w:val="nil"/>
          <w:right w:val="nil"/>
          <w:between w:val="nil"/>
          <w:bar w:val="nil"/>
        </w:pBdr>
        <w:autoSpaceDE/>
        <w:autoSpaceDN/>
        <w:adjustRightInd/>
        <w:spacing w:before="240" w:line="360" w:lineRule="auto"/>
        <w:ind w:left="284" w:hanging="284"/>
        <w:jc w:val="both"/>
        <w:rPr>
          <w:rFonts w:ascii="Palatino Linotype" w:hAnsi="Palatino Linotype"/>
          <w:b/>
          <w:bCs/>
        </w:rPr>
      </w:pPr>
      <w:r w:rsidRPr="00E51198">
        <w:rPr>
          <w:rFonts w:ascii="Palatino Linotype" w:hAnsi="Palatino Linotype"/>
          <w:b/>
          <w:bCs/>
        </w:rPr>
        <w:t>Investor interest</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 xml:space="preserve">Let me begin by first talking about the increased retail investors’ interest in Indian securities market from FY 20-21 onwards.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The cumulative number of total demat accounts increased from 41 million at beginning of FY 21 to 55 million by the end of FY21 – an increase of 34.7 %. On an average about 1.2 million new demat accounts were opened per month in FY21 as compared to 0.42 million per month during the preceding year. The trend get further accentuated during the current financial year – on an average 2.45 million demat accounts have been opened per month during April- June 2021.</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Equity cash market turnover increased from INR 96.6 trillion in FY20 to INR 164.4 trillion in FY21 – an increase of 70.2%. The share of individuals in turnover increased by around 5 percentage points to 51.4% in FY21 over the previous year. Larger share of trades originating from mobile devices and internet-based trading in the total turnover is another indicator of increased retail participation.</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lastRenderedPageBreak/>
        <w:t xml:space="preserve">The AUM under mutual funds increased from INR 22.3 trillion at the beginning of FY 21 to INR 31.4 trillion at the end of FY21- an increase of 41%. FPI investment in Indian equities was USD 37 billion during FY21- which is the highest during any single financial year.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 xml:space="preserve">As for the overall resource mobilization through capital markets, despite being a pandemic affected year, INR 10.12 trillion were raised in FY21, surpassing previous year’s figures of INR 9.96 trillion.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jc w:val="both"/>
        <w:rPr>
          <w:rFonts w:ascii="Palatino Linotype" w:hAnsi="Palatino Linotype"/>
        </w:rPr>
      </w:pPr>
      <w:r w:rsidRPr="00E51198">
        <w:rPr>
          <w:rFonts w:ascii="Palatino Linotype" w:hAnsi="Palatino Linotype"/>
        </w:rPr>
        <w:t xml:space="preserve">Prevailing low interest rates and ample liquidity availability aren’t the only reasons for this increased investors interest in securities market in India; though one cannot deny that they are major factors and any tightening of liquidity or increase in interest rates would impact the market. However, it also needs to be acknowledged that by their very nature, the markets are forward looking and the present investments take into account future growth prospects. Add to this, the Regulator’s effort in terms of continuous dialogue with stakeholders to bring in required regulatory changes, rationalizing procedures and maintaining trust in the market.  </w:t>
      </w:r>
    </w:p>
    <w:p w:rsidR="00E51198" w:rsidRPr="00E51198" w:rsidRDefault="00E51198" w:rsidP="00E51198">
      <w:pPr>
        <w:pStyle w:val="Default"/>
        <w:numPr>
          <w:ilvl w:val="0"/>
          <w:numId w:val="48"/>
        </w:numPr>
        <w:pBdr>
          <w:top w:val="nil"/>
          <w:left w:val="nil"/>
          <w:bottom w:val="nil"/>
          <w:right w:val="nil"/>
          <w:between w:val="nil"/>
          <w:bar w:val="nil"/>
        </w:pBdr>
        <w:autoSpaceDE/>
        <w:autoSpaceDN/>
        <w:adjustRightInd/>
        <w:spacing w:before="240" w:line="360" w:lineRule="auto"/>
        <w:ind w:left="284" w:hanging="284"/>
        <w:jc w:val="both"/>
        <w:rPr>
          <w:rFonts w:ascii="Palatino Linotype" w:hAnsi="Palatino Linotype"/>
          <w:b/>
          <w:bCs/>
        </w:rPr>
      </w:pPr>
      <w:r w:rsidRPr="00E51198">
        <w:rPr>
          <w:rFonts w:ascii="Palatino Linotype" w:hAnsi="Palatino Linotype"/>
          <w:b/>
          <w:bCs/>
        </w:rPr>
        <w:t>Instruments/products in which investors’ interests have particularly picked up</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The investor participation has increased in almost all securities market areas in the recent times. Let me take you through some of the instruments/modes of fund raising which have particularly caught fancy of investors.</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IPOs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The maturity of the Indian IPO market and its resilience to the COVID-19 pandemic is reflected in the quantum of funds raised during FY 21 - companies raised INR 46 billion through IPOs as compared to INR 21.4 billion in FY 20. In FY 22, until June end, companies have already raised INR 12 billion and from the number of new filings with SEBI, it is expected that the figures will increase significantly going forward.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Along-with the robust growth, it is heartening to note that our markets are entering a new era with several new age tech companies preferring to list domestically. Our markets offer </w:t>
      </w:r>
      <w:r w:rsidRPr="00E51198">
        <w:rPr>
          <w:rFonts w:ascii="Palatino Linotype" w:hAnsi="Palatino Linotype"/>
        </w:rPr>
        <w:lastRenderedPageBreak/>
        <w:t>as attractive a fund raising proposition as any overseas market. Recent filings and public offerings reflect the maturity of our market to accept the business model of new age tech companies, which aren’t amenable to valuation through conventional metrics of profitability. Successful IPOs of such companies are likely to attract more funds in domestic markets; thus creating a new ecosystem of entrepreneurs and investors.</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REITs and InvITs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When these products were introduced in the Indian markets in 2014, threshold investment amount was kept high because they were new products and investors in general were not aware of their risk return profile. Gradually, the instruments were made available to a wider class of investors by reducing the allotment and trading lot.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The products have taken off since 2017 and more so in the last two years. Out of the total funds raised of around INR 900 billion by REITs and InvITs together till date, more than INR 620 billion have been raised after 2019-20. In just around 4 years from the time since the first InvIT was listed, total assets under REITs and InvITs have grown to INR 3.5 trillion.</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ESG themed mutual fund schemes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Though there is an increased global interest in such investments, sustainable fund investing in India is still a new concept and may take some time to develop. However, one noticed a spurt in the investments in ESG themed mutual fund schemes in India during FY21. The number of NFOs having ESG theme shot up by 300% during FY21, while the amount mobilized shot up by 189% during the same period. As at end of March 2021, the AUM of domestic mutual fund schemes with ESG theme stood at more than INR100 billion. </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 xml:space="preserve">ETFs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u w:val="single"/>
        </w:rPr>
      </w:pPr>
      <w:r w:rsidRPr="00E51198">
        <w:rPr>
          <w:rFonts w:ascii="Palatino Linotype" w:hAnsi="Palatino Linotype"/>
        </w:rPr>
        <w:t xml:space="preserve">ETFs, with very low total expense ratio as compared to actively managed mutual funds, seem to be lately attracting the domestic investors. The investment through ETFs has </w:t>
      </w:r>
      <w:r w:rsidRPr="00E51198">
        <w:rPr>
          <w:rFonts w:ascii="Palatino Linotype" w:hAnsi="Palatino Linotype"/>
        </w:rPr>
        <w:lastRenderedPageBreak/>
        <w:t>witnessed a gradual increase during the last few years - the proportion of ETF AUM to total mutual fund AUM increased from 2% at end of</w:t>
      </w:r>
      <w:r w:rsidRPr="00E51198">
        <w:rPr>
          <w:rFonts w:ascii="Palatino Linotype" w:hAnsi="Palatino Linotype"/>
          <w:i/>
          <w:iCs/>
        </w:rPr>
        <w:t xml:space="preserve"> FY 16</w:t>
      </w:r>
      <w:r w:rsidRPr="00E51198">
        <w:rPr>
          <w:rFonts w:ascii="Palatino Linotype" w:hAnsi="Palatino Linotype"/>
        </w:rPr>
        <w:t xml:space="preserve"> to 9% at end of FY</w:t>
      </w:r>
      <w:r w:rsidRPr="00E51198">
        <w:rPr>
          <w:rFonts w:ascii="Palatino Linotype" w:hAnsi="Palatino Linotype"/>
          <w:i/>
          <w:iCs/>
        </w:rPr>
        <w:t xml:space="preserve"> </w:t>
      </w:r>
      <w:r w:rsidRPr="00E51198">
        <w:rPr>
          <w:rFonts w:ascii="Palatino Linotype" w:hAnsi="Palatino Linotype"/>
        </w:rPr>
        <w:t>21. From INR 1.54 trillion at beginning</w:t>
      </w:r>
      <w:r w:rsidRPr="00E51198">
        <w:rPr>
          <w:rFonts w:ascii="Palatino Linotype" w:hAnsi="Palatino Linotype"/>
          <w:i/>
          <w:iCs/>
        </w:rPr>
        <w:t xml:space="preserve"> </w:t>
      </w:r>
      <w:r w:rsidRPr="00E51198">
        <w:rPr>
          <w:rFonts w:ascii="Palatino Linotype" w:hAnsi="Palatino Linotype"/>
        </w:rPr>
        <w:t>of FY 21, ETF AUM has almost doubled to INR 2.9 trillion at end of FY 21.</w:t>
      </w:r>
    </w:p>
    <w:p w:rsidR="00E51198" w:rsidRPr="00E51198" w:rsidRDefault="00E51198" w:rsidP="00E51198">
      <w:pPr>
        <w:pStyle w:val="Default"/>
        <w:numPr>
          <w:ilvl w:val="0"/>
          <w:numId w:val="48"/>
        </w:numPr>
        <w:pBdr>
          <w:top w:val="nil"/>
          <w:left w:val="nil"/>
          <w:bottom w:val="nil"/>
          <w:right w:val="nil"/>
          <w:between w:val="nil"/>
          <w:bar w:val="nil"/>
        </w:pBdr>
        <w:autoSpaceDE/>
        <w:autoSpaceDN/>
        <w:adjustRightInd/>
        <w:spacing w:before="240" w:line="360" w:lineRule="auto"/>
        <w:ind w:left="284" w:hanging="284"/>
        <w:jc w:val="both"/>
        <w:rPr>
          <w:rFonts w:ascii="Palatino Linotype" w:hAnsi="Palatino Linotype"/>
          <w:b/>
          <w:bCs/>
        </w:rPr>
      </w:pPr>
      <w:r w:rsidRPr="00E51198">
        <w:rPr>
          <w:rFonts w:ascii="Palatino Linotype" w:hAnsi="Palatino Linotype"/>
          <w:b/>
          <w:bCs/>
        </w:rPr>
        <w:t xml:space="preserve">Regulator’s Role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I would like to briefly present some of the recent steps taken by SEBI to facilitate the development of capital markets and further improve their robustness thereby attracting more investors.</w:t>
      </w:r>
    </w:p>
    <w:p w:rsidR="00E51198" w:rsidRPr="00E51198" w:rsidRDefault="00E51198" w:rsidP="00E51198">
      <w:pPr>
        <w:pStyle w:val="Default"/>
        <w:spacing w:before="240" w:line="360" w:lineRule="auto"/>
        <w:jc w:val="both"/>
        <w:rPr>
          <w:rFonts w:ascii="Palatino Linotype" w:hAnsi="Palatino Linotype"/>
          <w:b/>
          <w:bCs/>
        </w:rPr>
      </w:pPr>
      <w:r w:rsidRPr="00E51198">
        <w:rPr>
          <w:rFonts w:ascii="Palatino Linotype" w:hAnsi="Palatino Linotype"/>
          <w:b/>
          <w:bCs/>
        </w:rPr>
        <w:t>Facilitation/Simplification/Rationalization</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Online</w:t>
      </w:r>
      <w:r w:rsidRPr="00E51198">
        <w:rPr>
          <w:rFonts w:ascii="Palatino Linotype" w:hAnsi="Palatino Linotype"/>
          <w:i/>
          <w:iCs/>
          <w:u w:val="single"/>
        </w:rPr>
        <w:t xml:space="preserve"> </w:t>
      </w:r>
      <w:r w:rsidRPr="00E51198">
        <w:rPr>
          <w:rFonts w:ascii="Palatino Linotype" w:hAnsi="Palatino Linotype"/>
          <w:u w:val="single"/>
        </w:rPr>
        <w:t xml:space="preserve">KYC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One important technology enabled innovation in the securities market was allowing online KYC. The recent phenomenal growth of retail investor participation in the market could not have been possible without this non-physical mode of onboarding investors. </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Ease of capital raising</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Several policy measures have been taken towards ease of fund raising by listed entities. For instance, eligibility criteria and disclosure requirements for rights issues have been rationalized. For eligible listed companies having stressed assets, pricing norms for preferential allotment have been relaxed and such companies have been exempted from open offer requirements.</w:t>
      </w:r>
    </w:p>
    <w:p w:rsid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Cooling off period between two Qualified Institutional Placement issues has been reduced. For issuers making a Further Public Offer, minimum promoter’s contribution and subsequent lock-in requirements have been relaxed. For large issuers, minimum public offer requirement and timelines for achieving minimum public shareholding have been relaxed.</w:t>
      </w:r>
    </w:p>
    <w:p w:rsidR="00E51198" w:rsidRPr="00E51198" w:rsidRDefault="00E51198" w:rsidP="00E51198">
      <w:pPr>
        <w:pStyle w:val="Default"/>
        <w:pBdr>
          <w:top w:val="nil"/>
          <w:left w:val="nil"/>
          <w:bottom w:val="nil"/>
          <w:right w:val="nil"/>
          <w:between w:val="nil"/>
          <w:bar w:val="nil"/>
        </w:pBdr>
        <w:autoSpaceDE/>
        <w:autoSpaceDN/>
        <w:adjustRightInd/>
        <w:spacing w:before="240" w:line="360" w:lineRule="auto"/>
        <w:ind w:left="357"/>
        <w:jc w:val="both"/>
        <w:rPr>
          <w:rFonts w:ascii="Palatino Linotype" w:hAnsi="Palatino Linotype"/>
        </w:rPr>
      </w:pP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lastRenderedPageBreak/>
        <w:t>Accredited Investor Concept</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While most of the investment avenues are available for all types of investors, some investments such as those under PMS and AIFs, are restricted to wealthy investors by prescribing minimum investment thresholds. These investors are expected to be well informed/advised to understand the risks associated with such products.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SEBI has decided to issue a new framework of “Accredited Investors” meeting the eligibility norms for investing in such products. Such investors will have the flexibility to participate in PMS and AIF products with an investment amount lesser than the mandated minimum investment threshold. This is expected to create a ready pool of investors with higher risk appetite to whom complex products with higher risk could be offered, and thus bring more investment in such products.</w:t>
      </w:r>
    </w:p>
    <w:p w:rsidR="00E51198" w:rsidRPr="00E51198" w:rsidRDefault="00E51198" w:rsidP="00E51198">
      <w:pPr>
        <w:pStyle w:val="Default"/>
        <w:spacing w:before="240" w:line="360" w:lineRule="auto"/>
        <w:jc w:val="both"/>
        <w:rPr>
          <w:rFonts w:ascii="Palatino Linotype" w:hAnsi="Palatino Linotype"/>
          <w:b/>
          <w:bCs/>
        </w:rPr>
      </w:pPr>
      <w:r w:rsidRPr="00E51198">
        <w:rPr>
          <w:rFonts w:ascii="Palatino Linotype" w:hAnsi="Palatino Linotype"/>
          <w:b/>
          <w:bCs/>
        </w:rPr>
        <w:t>System improvement/Improving risk management</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Interoperability of clearing corporations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Mandating interoperability amongst clearing corporations, allowing traders to consolidate trades across multiple exchanges and submit them for clearing and settlement to a clearing corporation of their choice, is an important development. The benefits include - better utilization of resources by market participants, lower margin requirements and reduced settlement exposures due to netting. </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Upfront margining</w:t>
      </w:r>
    </w:p>
    <w:p w:rsid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Earlier, collection of margins from clients in equity cash segment was discretionary for the broker. In other segments, margin collection from clients, though mandatory, was monitored at the end of day basis. As broker still had to foot margin to clearing corporation on real time basis, there were instances of misuse of client collateral. A step, to curb misuse of client collateral and to reduce leverage, was to require upfront collection of margins from clients.</w:t>
      </w:r>
    </w:p>
    <w:p w:rsidR="00E51198" w:rsidRPr="00E51198" w:rsidRDefault="00E51198" w:rsidP="00E51198">
      <w:pPr>
        <w:pStyle w:val="Default"/>
        <w:pBdr>
          <w:top w:val="nil"/>
          <w:left w:val="nil"/>
          <w:bottom w:val="nil"/>
          <w:right w:val="nil"/>
          <w:between w:val="nil"/>
          <w:bar w:val="nil"/>
        </w:pBdr>
        <w:autoSpaceDE/>
        <w:autoSpaceDN/>
        <w:adjustRightInd/>
        <w:spacing w:before="240" w:line="360" w:lineRule="auto"/>
        <w:ind w:left="357"/>
        <w:jc w:val="both"/>
        <w:rPr>
          <w:rFonts w:ascii="Palatino Linotype" w:hAnsi="Palatino Linotype"/>
        </w:rPr>
      </w:pP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lastRenderedPageBreak/>
        <w:t>Pledge/re-pledge mechanism</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Another measure was change in the way clients use their shares for collateral/margin purpose. The earlier practice for using securities as collateral by clients required transfer of client securities to broker account. There were several instances of misuse of such securities of inactive clients by brokers to provide margins for proprietary trades or trades of other clients or even for funding other businesses.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To protect clients’ interests, securities collateral system was overhauled and a new pledge/re-pledge mechanism was implemented.  Under this, client securities do not leave client’s demat account even when they are pledged / re-pledged up to the clearing corporation level, thereby eliminating the risk of their misuse. </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 xml:space="preserve">Block mechanism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A “block mechanism” has been enabled for securities in demat account wherein shares of clients intending to make a sale transaction will be blocked in their demat account in favour of the clearing corporation. Earlier, to get margin exemption for sale transactions through early pay-in, securities had to be transferred to clearing corporation through broker. However, if the securities remained unsold, reversal to client’s demat account used to take time and involved costs. The new system would remove these hassles.</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Segregation of client collateral</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With a view to strengthening the mechanism of protection of client collateral from misuse and default of brokers, SEBI has recently come out with a framework for segregation and monitoring of collateral at client level. The clearing corporations would specify a reporting mechanism that would provide visibility of client wise collateral at both the broker and clearing corporation level.</w:t>
      </w:r>
    </w:p>
    <w:p w:rsidR="00E51198" w:rsidRDefault="00E51198" w:rsidP="00E51198">
      <w:pPr>
        <w:pStyle w:val="Default"/>
        <w:spacing w:before="240" w:line="360" w:lineRule="auto"/>
        <w:jc w:val="both"/>
        <w:rPr>
          <w:rFonts w:ascii="Palatino Linotype" w:hAnsi="Palatino Linotype"/>
          <w:b/>
          <w:bCs/>
        </w:rPr>
      </w:pPr>
    </w:p>
    <w:p w:rsidR="00E51198" w:rsidRDefault="00E51198" w:rsidP="00E51198">
      <w:pPr>
        <w:pStyle w:val="Default"/>
        <w:spacing w:before="240" w:line="360" w:lineRule="auto"/>
        <w:jc w:val="both"/>
        <w:rPr>
          <w:rFonts w:ascii="Palatino Linotype" w:hAnsi="Palatino Linotype"/>
          <w:b/>
          <w:bCs/>
        </w:rPr>
      </w:pPr>
    </w:p>
    <w:p w:rsidR="00E51198" w:rsidRDefault="00E51198" w:rsidP="00E51198">
      <w:pPr>
        <w:pStyle w:val="Default"/>
        <w:spacing w:before="240" w:line="360" w:lineRule="auto"/>
        <w:jc w:val="both"/>
        <w:rPr>
          <w:rFonts w:ascii="Palatino Linotype" w:hAnsi="Palatino Linotype"/>
          <w:b/>
          <w:bCs/>
        </w:rPr>
      </w:pPr>
    </w:p>
    <w:p w:rsidR="00E51198" w:rsidRPr="00E51198" w:rsidRDefault="00E51198" w:rsidP="00E51198">
      <w:pPr>
        <w:pStyle w:val="Default"/>
        <w:spacing w:before="240" w:line="360" w:lineRule="auto"/>
        <w:jc w:val="both"/>
        <w:rPr>
          <w:rFonts w:ascii="Palatino Linotype" w:hAnsi="Palatino Linotype"/>
          <w:b/>
          <w:bCs/>
        </w:rPr>
      </w:pPr>
      <w:r w:rsidRPr="00E51198">
        <w:rPr>
          <w:rFonts w:ascii="Palatino Linotype" w:hAnsi="Palatino Linotype"/>
          <w:b/>
          <w:bCs/>
        </w:rPr>
        <w:lastRenderedPageBreak/>
        <w:t>Awareness generation</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Investor Education is an important measure of investor protection as it enables investors to take informed investment decisions. This is even more relevant today in view of heightened retail participation in securities market.</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 xml:space="preserve">Securities Markets Trainers (SMARTS) Programme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SMARTS programme was launched by SEBI in November 2020. This is in addition to the other ongoing programmes for awareness generation. Under this initiative, SEBI empanels individuals and organisations who have knowledge, expertise and interest in the area of securities markets, to conduct awareness programs for existing and prospective investors. Till date, empaneled SMARTS have conducted more than 660 webinar based investor awareness programs across 23 States and Union Territories covering 95 districts. SEBI plans to empanel more SMARTS in coming months.</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 xml:space="preserve">Media awareness Campaigns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A media campaign was launched few months back through television, digital, SMS, print and radio cautioning investors against unsolicited investment tips. This pan India campaign with a potential reach of more than 600 million people, was conducted in 13 leading languages. SEBI will continue to enhance its investor education and awareness initiatives to complement similar efforts of various Market Infrastructure Institutions, Mutual Funds, etc.</w:t>
      </w:r>
    </w:p>
    <w:p w:rsidR="00E51198" w:rsidRPr="00E51198" w:rsidRDefault="00E51198" w:rsidP="00E51198">
      <w:pPr>
        <w:pStyle w:val="Default"/>
        <w:numPr>
          <w:ilvl w:val="0"/>
          <w:numId w:val="48"/>
        </w:numPr>
        <w:pBdr>
          <w:top w:val="nil"/>
          <w:left w:val="nil"/>
          <w:bottom w:val="nil"/>
          <w:right w:val="nil"/>
          <w:between w:val="nil"/>
          <w:bar w:val="nil"/>
        </w:pBdr>
        <w:autoSpaceDE/>
        <w:autoSpaceDN/>
        <w:adjustRightInd/>
        <w:spacing w:before="240" w:line="360" w:lineRule="auto"/>
        <w:ind w:left="284" w:hanging="284"/>
        <w:jc w:val="both"/>
        <w:rPr>
          <w:rFonts w:ascii="Palatino Linotype" w:hAnsi="Palatino Linotype"/>
          <w:b/>
          <w:bCs/>
        </w:rPr>
      </w:pPr>
      <w:r w:rsidRPr="00E51198">
        <w:rPr>
          <w:rFonts w:ascii="Palatino Linotype" w:hAnsi="Palatino Linotype"/>
          <w:b/>
          <w:bCs/>
        </w:rPr>
        <w:t>SEBI’s ongoing projects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Let me now take you through some of the areas we are currently working on. </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Social Stock Exchange</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Creation of Social Stock Exchange is aimed at unlocking private capital for social enterprises. It is a pioneering move to facilitate raising of funds by non-profit organizations by leveraging existing and innovative structures within the securities market domain. It would bring more visibility to the social impact that the social enterprises create. The </w:t>
      </w:r>
      <w:r w:rsidRPr="00E51198">
        <w:rPr>
          <w:rFonts w:ascii="Palatino Linotype" w:hAnsi="Palatino Linotype"/>
        </w:rPr>
        <w:lastRenderedPageBreak/>
        <w:t>envisaged ecosystem would comprise of a platform for investors/donors and non-profit organizations, instruments for fund raising, minimum reporting standards, Information Repositories, Social Auditors and a Capacity building fund.</w:t>
      </w:r>
    </w:p>
    <w:p w:rsidR="00E51198" w:rsidRPr="00E51198" w:rsidRDefault="00E51198" w:rsidP="00E51198">
      <w:pPr>
        <w:pStyle w:val="Default"/>
        <w:spacing w:before="240" w:line="360" w:lineRule="auto"/>
        <w:ind w:left="357"/>
        <w:jc w:val="both"/>
        <w:rPr>
          <w:rFonts w:ascii="Palatino Linotype" w:hAnsi="Palatino Linotype"/>
          <w:u w:val="single"/>
        </w:rPr>
      </w:pPr>
      <w:r w:rsidRPr="00E51198">
        <w:rPr>
          <w:rFonts w:ascii="Palatino Linotype" w:hAnsi="Palatino Linotype"/>
          <w:u w:val="single"/>
        </w:rPr>
        <w:t xml:space="preserve">Gold exchange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The Union Budget for FY 2021-22 announced the setting up of gold spot exchange with SEBI as the regulator. The proposed gold exchange would provide a new asset class for investors.  It is expected to infuse transparency in spot gold transactions and over a period of time enable India to emerge as a global price setter for the commodity. </w:t>
      </w:r>
    </w:p>
    <w:p w:rsidR="00E51198" w:rsidRPr="00E51198" w:rsidRDefault="00E51198" w:rsidP="00E51198">
      <w:pPr>
        <w:pStyle w:val="Default"/>
        <w:spacing w:before="240" w:line="360" w:lineRule="auto"/>
        <w:ind w:left="357"/>
        <w:jc w:val="both"/>
        <w:rPr>
          <w:rFonts w:ascii="Palatino Linotype" w:hAnsi="Palatino Linotype" w:cs="Times New Roman"/>
          <w:iCs/>
        </w:rPr>
      </w:pPr>
      <w:r w:rsidRPr="00E51198">
        <w:rPr>
          <w:rFonts w:ascii="Palatino Linotype" w:hAnsi="Palatino Linotype"/>
          <w:u w:val="single"/>
        </w:rPr>
        <w:t>ETFs</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Globally, exchange traded funds (ETFs) have emerged as popular product, and provide liquid exposure to investors on even relatively illiquid underlying assets. SEBI is examining how to increase ETF liquidity on exchange platforms and feasibility of introducing new ETF products such as corporate bond ETFs to increase liquidity in corporate bond market. </w:t>
      </w:r>
    </w:p>
    <w:p w:rsidR="00E51198" w:rsidRPr="00E51198" w:rsidRDefault="00E51198" w:rsidP="00E51198">
      <w:pPr>
        <w:pStyle w:val="Default"/>
        <w:numPr>
          <w:ilvl w:val="0"/>
          <w:numId w:val="48"/>
        </w:numPr>
        <w:pBdr>
          <w:top w:val="nil"/>
          <w:left w:val="nil"/>
          <w:bottom w:val="nil"/>
          <w:right w:val="nil"/>
          <w:between w:val="nil"/>
          <w:bar w:val="nil"/>
        </w:pBdr>
        <w:autoSpaceDE/>
        <w:autoSpaceDN/>
        <w:adjustRightInd/>
        <w:spacing w:before="240" w:line="360" w:lineRule="auto"/>
        <w:ind w:left="284" w:hanging="284"/>
        <w:jc w:val="both"/>
        <w:rPr>
          <w:rFonts w:ascii="Palatino Linotype" w:hAnsi="Palatino Linotype"/>
          <w:b/>
          <w:bCs/>
        </w:rPr>
      </w:pPr>
      <w:r w:rsidRPr="00E51198">
        <w:rPr>
          <w:rFonts w:ascii="Palatino Linotype" w:hAnsi="Palatino Linotype"/>
          <w:b/>
          <w:bCs/>
        </w:rPr>
        <w:t>Need for continuous innovation and research</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Innovation is the trait of a competitive financial market structure where the market participants need to continuously innovate to remain relevant.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SEBI has introduced Regulatory and Innovation Sandbox frameworks, wherein new ideas and products can be tested on a pilot basis before implementing them in the market. Even those ideas which fail in sandbox would make us wiser as to what works and what does not.</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SEBI has continuously endeavored to promote research in capital markets. To facilitate analytics projects, research activities and academic studies on capital markets, a data sharing policy has been put in place. In order to foster data backed research in Indian securities market, SEBI has constituted two expert standing committees, namely, the Market Data Advisory Committee to enhance the quality, availability and access to </w:t>
      </w:r>
      <w:r w:rsidRPr="00E51198">
        <w:rPr>
          <w:rFonts w:ascii="Palatino Linotype" w:hAnsi="Palatino Linotype"/>
        </w:rPr>
        <w:lastRenderedPageBreak/>
        <w:t xml:space="preserve">relevant data and the Research Advisory Committee to guide a strategy to scale up research in Indian securities market. Another research initiative is the Development Research Group Study Series to encourage external experts to contribute to policy making through research.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 xml:space="preserve">NISM is the educational initiative of SEBI. I expect it to play an enhanced role in fostering capital market related research and innovation. I also wish that it emerges as the go to place for SEBI for advice on important policy issues. </w:t>
      </w:r>
    </w:p>
    <w:p w:rsidR="00E51198" w:rsidRPr="00E51198" w:rsidRDefault="00E51198" w:rsidP="00E51198">
      <w:pPr>
        <w:pStyle w:val="Default"/>
        <w:numPr>
          <w:ilvl w:val="0"/>
          <w:numId w:val="47"/>
        </w:numPr>
        <w:pBdr>
          <w:top w:val="nil"/>
          <w:left w:val="nil"/>
          <w:bottom w:val="nil"/>
          <w:right w:val="nil"/>
          <w:between w:val="nil"/>
          <w:bar w:val="nil"/>
        </w:pBdr>
        <w:autoSpaceDE/>
        <w:autoSpaceDN/>
        <w:adjustRightInd/>
        <w:spacing w:before="240" w:line="360" w:lineRule="auto"/>
        <w:ind w:hanging="499"/>
        <w:jc w:val="both"/>
        <w:rPr>
          <w:rFonts w:ascii="Palatino Linotype" w:hAnsi="Palatino Linotype"/>
        </w:rPr>
      </w:pPr>
      <w:r w:rsidRPr="00E51198">
        <w:rPr>
          <w:rFonts w:ascii="Palatino Linotype" w:hAnsi="Palatino Linotype"/>
        </w:rPr>
        <w:t>I express my best wishes for the conference and look forward to constructive and innovative suggestions emerging out of deliberations.</w:t>
      </w:r>
    </w:p>
    <w:p w:rsidR="00E51198" w:rsidRPr="00E51198" w:rsidRDefault="00E51198" w:rsidP="00E51198">
      <w:pPr>
        <w:pStyle w:val="Default"/>
        <w:spacing w:before="240" w:line="360" w:lineRule="auto"/>
        <w:jc w:val="both"/>
        <w:rPr>
          <w:rFonts w:ascii="Palatino Linotype" w:hAnsi="Palatino Linotype"/>
        </w:rPr>
      </w:pPr>
      <w:r w:rsidRPr="00E51198">
        <w:rPr>
          <w:rFonts w:ascii="Palatino Linotype" w:hAnsi="Palatino Linotype"/>
        </w:rPr>
        <w:t>Thank you</w:t>
      </w:r>
    </w:p>
    <w:p w:rsidR="00E51198" w:rsidRDefault="00E51198">
      <w:pPr>
        <w:rPr>
          <w:rFonts w:ascii="Palatino Linotype" w:hAnsi="Palatino Linotype" w:cs="Arial"/>
          <w:b/>
          <w:lang w:val="en-IN"/>
        </w:rPr>
      </w:pPr>
      <w:r>
        <w:rPr>
          <w:rFonts w:ascii="Palatino Linotype" w:hAnsi="Palatino Linotype" w:cs="Arial"/>
          <w:b/>
          <w:lang w:val="en-IN"/>
        </w:rPr>
        <w:br w:type="page"/>
      </w:r>
    </w:p>
    <w:p w:rsidR="00E51198" w:rsidRDefault="00E51198" w:rsidP="00E51198">
      <w:pPr>
        <w:jc w:val="center"/>
        <w:rPr>
          <w:rFonts w:ascii="Palatino Linotype" w:hAnsi="Palatino Linotype" w:cs="Arial"/>
          <w:b/>
          <w:lang w:val="en-IN"/>
        </w:rPr>
      </w:pPr>
    </w:p>
    <w:p w:rsidR="00B82039" w:rsidRDefault="00B82039" w:rsidP="00B82039">
      <w:pPr>
        <w:jc w:val="center"/>
        <w:rPr>
          <w:rFonts w:ascii="Palatino Linotype" w:hAnsi="Palatino Linotype" w:cs="Arial"/>
          <w:b/>
          <w:lang w:val="en-IN"/>
        </w:rPr>
      </w:pPr>
      <w:r>
        <w:rPr>
          <w:rFonts w:ascii="Palatino Linotype" w:hAnsi="Palatino Linotype" w:cs="Arial"/>
          <w:b/>
          <w:lang w:val="en-IN"/>
        </w:rPr>
        <w:t xml:space="preserve">CHAIRMAN’S ADDRESS AT </w:t>
      </w:r>
    </w:p>
    <w:p w:rsidR="00B82039" w:rsidRDefault="00B82039" w:rsidP="00B82039">
      <w:pPr>
        <w:jc w:val="center"/>
        <w:rPr>
          <w:rFonts w:ascii="Palatino Linotype" w:hAnsi="Palatino Linotype" w:cs="Arial"/>
          <w:b/>
          <w:lang w:val="en-IN"/>
        </w:rPr>
      </w:pPr>
      <w:r w:rsidRPr="00B82039">
        <w:rPr>
          <w:rFonts w:ascii="Palatino Linotype" w:hAnsi="Palatino Linotype" w:cs="Arial"/>
          <w:b/>
          <w:lang w:val="en-IN"/>
        </w:rPr>
        <w:t>FICCI’s A</w:t>
      </w:r>
      <w:r>
        <w:rPr>
          <w:rFonts w:ascii="Palatino Linotype" w:hAnsi="Palatino Linotype" w:cs="Arial"/>
          <w:b/>
          <w:lang w:val="en-IN"/>
        </w:rPr>
        <w:t>NNUAL</w:t>
      </w:r>
      <w:r w:rsidRPr="00B82039">
        <w:rPr>
          <w:rFonts w:ascii="Palatino Linotype" w:hAnsi="Palatino Linotype" w:cs="Arial"/>
          <w:b/>
          <w:lang w:val="en-IN"/>
        </w:rPr>
        <w:t xml:space="preserve"> C</w:t>
      </w:r>
      <w:r>
        <w:rPr>
          <w:rFonts w:ascii="Palatino Linotype" w:hAnsi="Palatino Linotype" w:cs="Arial"/>
          <w:b/>
          <w:lang w:val="en-IN"/>
        </w:rPr>
        <w:t>APITAL</w:t>
      </w:r>
      <w:r w:rsidRPr="00B82039">
        <w:rPr>
          <w:rFonts w:ascii="Palatino Linotype" w:hAnsi="Palatino Linotype" w:cs="Arial"/>
          <w:b/>
          <w:lang w:val="en-IN"/>
        </w:rPr>
        <w:t xml:space="preserve"> M</w:t>
      </w:r>
      <w:r>
        <w:rPr>
          <w:rFonts w:ascii="Palatino Linotype" w:hAnsi="Palatino Linotype" w:cs="Arial"/>
          <w:b/>
          <w:lang w:val="en-IN"/>
        </w:rPr>
        <w:t>ARKET</w:t>
      </w:r>
      <w:r w:rsidRPr="00B82039">
        <w:rPr>
          <w:rFonts w:ascii="Palatino Linotype" w:hAnsi="Palatino Linotype" w:cs="Arial"/>
          <w:b/>
          <w:lang w:val="en-IN"/>
        </w:rPr>
        <w:t xml:space="preserve"> C</w:t>
      </w:r>
      <w:r>
        <w:rPr>
          <w:rFonts w:ascii="Palatino Linotype" w:hAnsi="Palatino Linotype" w:cs="Arial"/>
          <w:b/>
          <w:lang w:val="en-IN"/>
        </w:rPr>
        <w:t>ONFERENCE</w:t>
      </w:r>
      <w:r w:rsidRPr="00B82039">
        <w:rPr>
          <w:rFonts w:ascii="Palatino Linotype" w:hAnsi="Palatino Linotype" w:cs="Arial"/>
          <w:b/>
          <w:lang w:val="en-IN"/>
        </w:rPr>
        <w:t xml:space="preserve"> 2021</w:t>
      </w:r>
    </w:p>
    <w:p w:rsidR="00B82039" w:rsidRPr="00B82039" w:rsidRDefault="00B82039" w:rsidP="00B82039">
      <w:pPr>
        <w:jc w:val="center"/>
        <w:rPr>
          <w:rFonts w:ascii="Palatino Linotype" w:hAnsi="Palatino Linotype" w:cs="Arial"/>
          <w:b/>
          <w:lang w:val="en-IN"/>
        </w:rPr>
      </w:pPr>
      <w:r>
        <w:rPr>
          <w:rFonts w:ascii="Palatino Linotype" w:hAnsi="Palatino Linotype" w:cs="Arial"/>
          <w:b/>
          <w:lang w:val="en-IN"/>
        </w:rPr>
        <w:t>On J</w:t>
      </w:r>
      <w:r w:rsidRPr="00B82039">
        <w:rPr>
          <w:rFonts w:ascii="Palatino Linotype" w:hAnsi="Palatino Linotype" w:cs="Arial"/>
          <w:b/>
          <w:lang w:val="en-IN"/>
        </w:rPr>
        <w:t>uly</w:t>
      </w:r>
      <w:r>
        <w:rPr>
          <w:rFonts w:ascii="Palatino Linotype" w:hAnsi="Palatino Linotype" w:cs="Arial"/>
          <w:b/>
          <w:lang w:val="en-IN"/>
        </w:rPr>
        <w:t xml:space="preserve"> 28</w:t>
      </w:r>
      <w:r w:rsidRPr="00B82039">
        <w:rPr>
          <w:rFonts w:ascii="Palatino Linotype" w:hAnsi="Palatino Linotype" w:cs="Arial"/>
          <w:b/>
          <w:lang w:val="en-IN"/>
        </w:rPr>
        <w:t>, 2021</w:t>
      </w:r>
    </w:p>
    <w:p w:rsidR="00B82039" w:rsidRPr="00B82039" w:rsidRDefault="00B82039" w:rsidP="00B82039">
      <w:pPr>
        <w:jc w:val="center"/>
        <w:rPr>
          <w:rFonts w:ascii="Palatino Linotype" w:hAnsi="Palatino Linotype" w:cs="Arial"/>
          <w:b/>
          <w:lang w:val="en-IN"/>
        </w:rPr>
      </w:pPr>
    </w:p>
    <w:p w:rsidR="00B82039" w:rsidRPr="00B82039" w:rsidRDefault="00B82039" w:rsidP="00B82039">
      <w:pPr>
        <w:ind w:left="360"/>
        <w:jc w:val="center"/>
        <w:rPr>
          <w:rFonts w:ascii="Palatino Linotype" w:hAnsi="Palatino Linotype" w:cs="Arial"/>
          <w:b/>
          <w:lang w:val="en-US"/>
        </w:rPr>
      </w:pPr>
      <w:r>
        <w:rPr>
          <w:rFonts w:ascii="Palatino Linotype" w:hAnsi="Palatino Linotype" w:cs="Arial"/>
          <w:b/>
          <w:lang w:val="en-US"/>
        </w:rPr>
        <w:t>“</w:t>
      </w:r>
      <w:r w:rsidRPr="00B82039">
        <w:rPr>
          <w:rFonts w:ascii="Palatino Linotype" w:hAnsi="Palatino Linotype" w:cs="Arial"/>
          <w:b/>
          <w:lang w:val="en-US"/>
        </w:rPr>
        <w:t>Beyond India@75: Accelerating Growth through Capital Markets</w:t>
      </w:r>
      <w:r>
        <w:rPr>
          <w:rFonts w:ascii="Palatino Linotype" w:hAnsi="Palatino Linotype" w:cs="Arial"/>
          <w:b/>
          <w:lang w:val="en-US"/>
        </w:rPr>
        <w:t>”</w:t>
      </w:r>
    </w:p>
    <w:p w:rsidR="00B82039" w:rsidRPr="00B82039" w:rsidRDefault="00B82039" w:rsidP="00B82039">
      <w:pPr>
        <w:ind w:left="360"/>
        <w:jc w:val="center"/>
        <w:rPr>
          <w:rFonts w:ascii="Palatino Linotype" w:hAnsi="Palatino Linotype" w:cs="Arial"/>
          <w:b/>
          <w:u w:val="single"/>
          <w:lang w:val="en-US"/>
        </w:rPr>
      </w:pPr>
    </w:p>
    <w:p w:rsidR="00B82039" w:rsidRDefault="00B82039" w:rsidP="00E51198">
      <w:pPr>
        <w:numPr>
          <w:ilvl w:val="0"/>
          <w:numId w:val="43"/>
        </w:numPr>
        <w:spacing w:line="360" w:lineRule="auto"/>
        <w:ind w:left="0" w:hanging="357"/>
        <w:jc w:val="both"/>
        <w:rPr>
          <w:rFonts w:ascii="Palatino Linotype" w:hAnsi="Palatino Linotype" w:cs="Arial"/>
          <w:lang w:val="en-US"/>
        </w:rPr>
      </w:pPr>
      <w:r w:rsidRPr="00B82039">
        <w:rPr>
          <w:rFonts w:ascii="Palatino Linotype" w:hAnsi="Palatino Linotype" w:cs="Arial"/>
          <w:lang w:val="en-US"/>
        </w:rPr>
        <w:t>Ladies and Gentlemen, a very good morning to you all. This is my second speech at a FICCI conference after COVID-19 was declared a pandemic.</w:t>
      </w:r>
    </w:p>
    <w:p w:rsidR="00B82039" w:rsidRPr="00B82039" w:rsidRDefault="00B82039" w:rsidP="00B82039">
      <w:pPr>
        <w:jc w:val="both"/>
        <w:rPr>
          <w:rFonts w:ascii="Palatino Linotype" w:hAnsi="Palatino Linotype" w:cs="Arial"/>
          <w:lang w:val="en-US"/>
        </w:rPr>
      </w:pPr>
    </w:p>
    <w:p w:rsidR="00E51198" w:rsidRDefault="00B82039" w:rsidP="00E51198">
      <w:pPr>
        <w:numPr>
          <w:ilvl w:val="0"/>
          <w:numId w:val="43"/>
        </w:numPr>
        <w:spacing w:line="360" w:lineRule="auto"/>
        <w:ind w:left="0" w:hanging="357"/>
        <w:jc w:val="both"/>
        <w:rPr>
          <w:rFonts w:ascii="Palatino Linotype" w:hAnsi="Palatino Linotype" w:cs="Arial"/>
          <w:lang w:val="en-US"/>
        </w:rPr>
      </w:pPr>
      <w:r w:rsidRPr="00B82039">
        <w:rPr>
          <w:rFonts w:ascii="Palatino Linotype" w:hAnsi="Palatino Linotype" w:cs="Arial"/>
          <w:lang w:val="en-US"/>
        </w:rPr>
        <w:t>While we are not able to communicate with each other physically in these troubled times, I am glad that technology has enabled us to interact smoothly and effectively through such webinars, irrespective of where we are located. I would like to thank FICCI for giving me this opportunity to share my thoughts with you on this interesting topic of accelerating growth through capital markets.</w:t>
      </w:r>
    </w:p>
    <w:p w:rsidR="00B82039" w:rsidRPr="00B82039" w:rsidRDefault="00B82039" w:rsidP="00E51198">
      <w:pPr>
        <w:jc w:val="both"/>
        <w:rPr>
          <w:rFonts w:ascii="Palatino Linotype" w:hAnsi="Palatino Linotype" w:cs="Arial"/>
          <w:lang w:val="en-US"/>
        </w:rPr>
      </w:pPr>
      <w:r w:rsidRPr="00B82039">
        <w:rPr>
          <w:rFonts w:ascii="Palatino Linotype" w:hAnsi="Palatino Linotype" w:cs="Arial"/>
          <w:lang w:val="en-US"/>
        </w:rPr>
        <w:t xml:space="preserve"> </w:t>
      </w:r>
    </w:p>
    <w:p w:rsidR="00B82039" w:rsidRDefault="00B82039" w:rsidP="00B82039">
      <w:pPr>
        <w:numPr>
          <w:ilvl w:val="0"/>
          <w:numId w:val="44"/>
        </w:numPr>
        <w:ind w:left="-270"/>
        <w:rPr>
          <w:rFonts w:ascii="Palatino Linotype" w:hAnsi="Palatino Linotype" w:cs="Arial"/>
          <w:b/>
          <w:u w:val="single"/>
          <w:lang w:val="en-US"/>
        </w:rPr>
      </w:pPr>
      <w:r w:rsidRPr="00B82039">
        <w:rPr>
          <w:rFonts w:ascii="Palatino Linotype" w:hAnsi="Palatino Linotype" w:cs="Arial"/>
          <w:b/>
          <w:u w:val="single"/>
          <w:lang w:val="en-US"/>
        </w:rPr>
        <w:t xml:space="preserve">Spurring growth through capital markets </w:t>
      </w:r>
    </w:p>
    <w:p w:rsidR="00E51198" w:rsidRPr="00B82039" w:rsidRDefault="00E51198" w:rsidP="00E51198">
      <w:pPr>
        <w:ind w:left="-270"/>
        <w:rPr>
          <w:rFonts w:ascii="Palatino Linotype" w:hAnsi="Palatino Linotype" w:cs="Arial"/>
          <w:b/>
          <w:u w:val="single"/>
          <w:lang w:val="en-US"/>
        </w:rPr>
      </w:pPr>
    </w:p>
    <w:p w:rsidR="00E51198"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Finance is often called the ‘life-blood’ of businesses. Without finance, businesses cannot grow and without businesses, economy cannot grow. Therefore, there is an intricate linkage between finance and economic growth. </w:t>
      </w:r>
    </w:p>
    <w:p w:rsidR="00E51198" w:rsidRPr="00B82039" w:rsidRDefault="00E51198" w:rsidP="00E51198">
      <w:pPr>
        <w:spacing w:line="360" w:lineRule="auto"/>
        <w:jc w:val="both"/>
        <w:rPr>
          <w:rFonts w:ascii="Palatino Linotype" w:hAnsi="Palatino Linotype" w:cs="Arial"/>
          <w:lang w:val="en-US"/>
        </w:rPr>
      </w:pPr>
    </w:p>
    <w:p w:rsidR="00E51198"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One of the major channels through which finance, as the life-blood of the economy, flows is capital markets. Traditionally, bank finance was the dominant form of finance to the industry. However, the share of finance by non-banking entities has been increasing over the years.</w:t>
      </w:r>
    </w:p>
    <w:p w:rsidR="00B82039" w:rsidRPr="00B82039" w:rsidRDefault="00B82039" w:rsidP="00E51198">
      <w:pPr>
        <w:spacing w:line="360" w:lineRule="auto"/>
        <w:jc w:val="both"/>
        <w:rPr>
          <w:rFonts w:ascii="Palatino Linotype" w:hAnsi="Palatino Linotype" w:cs="Arial"/>
          <w:lang w:val="en-US"/>
        </w:rPr>
      </w:pPr>
      <w:r w:rsidRPr="00B82039">
        <w:rPr>
          <w:rFonts w:ascii="Palatino Linotype" w:hAnsi="Palatino Linotype" w:cs="Arial"/>
          <w:lang w:val="en-US"/>
        </w:rPr>
        <w:t xml:space="preserve"> </w:t>
      </w: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According to a 2020 report of the Financial Stability Board, globally, the non-banking financial sector grew faster than the banking sector in the past decade. The report also states that financial assets of the non-banking financial sector amount to more than $200 trillion, accounting for nearly half of the global financial system. A large part of the non-banking financial intermediation is through capital markets. Going forward, the capital markets are only going to play a more and more important role in funding the economic growth.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lastRenderedPageBreak/>
        <w:t xml:space="preserve">We can see this trend in India as well. During the last financial year i.e. 2020-21 compared to the previous year, the resources mobilized through corporate bonds grew at 13.4% compared to 5.2% for bank credit.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If we compare the actual resources mobilized during the same year i.e. 2020-21, the amount raised by bond issuances was 36.4% more than the net incremental bank credit to the commercial sector. This shows how the importance of capital markets is increasing by the day as a source of finance to the corporate world.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Not only the industry, over the years, we have seen the Government actively using capital markets. Apart from market borrowings to meet its fiscal deficit, the Government taps the capital market to add to the fiscal resources through ways such as disinvestment and sometimes even use it to raise funds for specific projects/ investments. For example, Governments- Central and some States, have set up various Alternative Investment Funds (AIFs) focused on specific sectors which are their priority for growth. Of late, some PSUs and Government Corporate bodies have also shown interest in monetizing their assets through InvITs.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Not only on the demand side, simultaneously, from the supply side as well, we are seeing an increased interest by households in the securities markets. During 2020-21 (upto Q3), the household financial savings deployed in the securities markets amounted to 1.2% of GDP compared to 0.3% during each of the previous two years. In absolute terms, this is a huge increase and if sustained, will give a tremendous boost to both the capital markets and the economy. </w:t>
      </w:r>
    </w:p>
    <w:p w:rsidR="00E51198" w:rsidRPr="00B82039" w:rsidRDefault="00E51198" w:rsidP="00E51198">
      <w:pPr>
        <w:jc w:val="both"/>
        <w:rPr>
          <w:rFonts w:ascii="Palatino Linotype" w:hAnsi="Palatino Linotype" w:cs="Arial"/>
          <w:lang w:val="en-US"/>
        </w:rPr>
      </w:pPr>
    </w:p>
    <w:p w:rsidR="00B82039" w:rsidRPr="00E51198" w:rsidRDefault="00B82039" w:rsidP="00B82039">
      <w:pPr>
        <w:numPr>
          <w:ilvl w:val="0"/>
          <w:numId w:val="44"/>
        </w:numPr>
        <w:ind w:left="-270"/>
        <w:rPr>
          <w:rFonts w:ascii="Palatino Linotype" w:hAnsi="Palatino Linotype" w:cs="Arial"/>
          <w:lang w:val="en-US"/>
        </w:rPr>
      </w:pPr>
      <w:r w:rsidRPr="00B82039">
        <w:rPr>
          <w:rFonts w:ascii="Palatino Linotype" w:hAnsi="Palatino Linotype" w:cs="Arial"/>
          <w:b/>
          <w:u w:val="single"/>
          <w:lang w:val="en-US"/>
        </w:rPr>
        <w:t>Transformation in fund raising through capital markets over the years</w:t>
      </w:r>
    </w:p>
    <w:p w:rsidR="00E51198" w:rsidRPr="00B82039" w:rsidRDefault="00E51198" w:rsidP="00E51198">
      <w:pPr>
        <w:ind w:left="-270"/>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Over the years, we have seen remarkable changes in the way corporate raise funds through capital markets:</w:t>
      </w:r>
    </w:p>
    <w:p w:rsidR="00E51198" w:rsidRPr="00B82039" w:rsidRDefault="00E51198" w:rsidP="00E51198">
      <w:pPr>
        <w:spacing w:line="360" w:lineRule="auto"/>
        <w:jc w:val="both"/>
        <w:rPr>
          <w:rFonts w:ascii="Palatino Linotype" w:hAnsi="Palatino Linotype" w:cs="Arial"/>
          <w:lang w:val="en-US"/>
        </w:rPr>
      </w:pPr>
    </w:p>
    <w:p w:rsidR="00E51198" w:rsidRDefault="00B82039" w:rsidP="00E51198">
      <w:pPr>
        <w:numPr>
          <w:ilvl w:val="1"/>
          <w:numId w:val="43"/>
        </w:numPr>
        <w:spacing w:line="360" w:lineRule="auto"/>
        <w:jc w:val="both"/>
        <w:rPr>
          <w:rFonts w:ascii="Palatino Linotype" w:hAnsi="Palatino Linotype" w:cs="Arial"/>
          <w:lang w:val="en-US"/>
        </w:rPr>
      </w:pPr>
      <w:r w:rsidRPr="00B82039">
        <w:rPr>
          <w:rFonts w:ascii="Palatino Linotype" w:hAnsi="Palatino Linotype" w:cs="Arial"/>
          <w:lang w:val="en-US"/>
        </w:rPr>
        <w:lastRenderedPageBreak/>
        <w:t xml:space="preserve">From raising funds through traditional equity and debt instruments, corporates have diversified into a large number of new instruments such as hybrids &amp; convertibles, REITs, InvITs, etc. As the market dynamics change, even more innovative instruments are likely to appear. </w:t>
      </w:r>
    </w:p>
    <w:p w:rsidR="00B82039" w:rsidRPr="00B82039" w:rsidRDefault="00B82039" w:rsidP="00E51198">
      <w:pPr>
        <w:spacing w:line="360" w:lineRule="auto"/>
        <w:ind w:left="1080"/>
        <w:jc w:val="both"/>
        <w:rPr>
          <w:rFonts w:ascii="Palatino Linotype" w:hAnsi="Palatino Linotype" w:cs="Arial"/>
          <w:lang w:val="en-US"/>
        </w:rPr>
      </w:pPr>
      <w:r w:rsidRPr="00B82039">
        <w:rPr>
          <w:rFonts w:ascii="Palatino Linotype" w:hAnsi="Palatino Linotype" w:cs="Arial"/>
          <w:lang w:val="en-US"/>
        </w:rPr>
        <w:t xml:space="preserve"> </w:t>
      </w:r>
    </w:p>
    <w:p w:rsidR="00B82039" w:rsidRDefault="00B82039" w:rsidP="00E51198">
      <w:pPr>
        <w:numPr>
          <w:ilvl w:val="1"/>
          <w:numId w:val="43"/>
        </w:numPr>
        <w:spacing w:line="360" w:lineRule="auto"/>
        <w:jc w:val="both"/>
        <w:rPr>
          <w:rFonts w:ascii="Palatino Linotype" w:hAnsi="Palatino Linotype" w:cs="Arial"/>
          <w:lang w:val="en-US"/>
        </w:rPr>
      </w:pPr>
      <w:r w:rsidRPr="00B82039">
        <w:rPr>
          <w:rFonts w:ascii="Palatino Linotype" w:hAnsi="Palatino Linotype" w:cs="Arial"/>
          <w:lang w:val="en-US"/>
        </w:rPr>
        <w:t xml:space="preserve">The nature of investors from whom the corporate raise money in their life cycle has also undergone a change. The availability of Private Equity/Venture Capital funding has increased leading to many companies remaining private for a long time even after attaining a large size. Simultaneously, several new age companies are witnessing a rapid growth leading them to go for an IPO at an early stage.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1"/>
          <w:numId w:val="43"/>
        </w:numPr>
        <w:spacing w:line="360" w:lineRule="auto"/>
        <w:jc w:val="both"/>
        <w:rPr>
          <w:rFonts w:ascii="Palatino Linotype" w:hAnsi="Palatino Linotype" w:cs="Arial"/>
          <w:lang w:val="en-US"/>
        </w:rPr>
      </w:pPr>
      <w:r w:rsidRPr="00B82039">
        <w:rPr>
          <w:rFonts w:ascii="Palatino Linotype" w:hAnsi="Palatino Linotype" w:cs="Arial"/>
          <w:lang w:val="en-US"/>
        </w:rPr>
        <w:t xml:space="preserve">While many of the IPOs years back used to be for project financing, we rarely now see IPOs being used specifically to finance projects. In fact, in terms of value, the proportion of IPOs being used to give exit to existing investors is higher than the proportion being used for raising funds.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1"/>
          <w:numId w:val="43"/>
        </w:numPr>
        <w:spacing w:line="360" w:lineRule="auto"/>
        <w:jc w:val="both"/>
        <w:rPr>
          <w:rFonts w:ascii="Palatino Linotype" w:hAnsi="Palatino Linotype" w:cs="Arial"/>
          <w:lang w:val="en-US"/>
        </w:rPr>
      </w:pPr>
      <w:r w:rsidRPr="00B82039">
        <w:rPr>
          <w:rFonts w:ascii="Palatino Linotype" w:hAnsi="Palatino Linotype" w:cs="Arial"/>
          <w:lang w:val="en-US"/>
        </w:rPr>
        <w:t xml:space="preserve">The type &amp; nature of IPOs is also witnessing a change globally. In USA, we particularly saw the rise of SPACs last year. Direct listing along with fund raising is also another way of IPO being explored in US.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Apart from the change in ways of fund raising, the actual funds raised by the corporate from the capital markets have also significantly gone up in line with the trend I mentioned earlier. The funds raised through IPOs during the last 5 years i.e. 2016-21 are 6 times more than the funds raised in the five years preceding that i.e. 2011-16, from 0.3 trillion to 1.8 trillion in rupee terms. The corresponding figures for the bond markets for the same two periods show an increase of more than 80%. </w:t>
      </w:r>
    </w:p>
    <w:p w:rsidR="00E51198" w:rsidRDefault="00E51198" w:rsidP="00E51198">
      <w:pPr>
        <w:jc w:val="both"/>
        <w:rPr>
          <w:rFonts w:ascii="Palatino Linotype" w:hAnsi="Palatino Linotype" w:cs="Arial"/>
          <w:lang w:val="en-US"/>
        </w:rPr>
      </w:pPr>
    </w:p>
    <w:p w:rsidR="00E51198" w:rsidRPr="00B82039" w:rsidRDefault="00E51198" w:rsidP="00E51198">
      <w:pPr>
        <w:jc w:val="both"/>
        <w:rPr>
          <w:rFonts w:ascii="Palatino Linotype" w:hAnsi="Palatino Linotype" w:cs="Arial"/>
          <w:lang w:val="en-US"/>
        </w:rPr>
      </w:pPr>
    </w:p>
    <w:p w:rsidR="00B82039" w:rsidRDefault="00B82039" w:rsidP="00B82039">
      <w:pPr>
        <w:numPr>
          <w:ilvl w:val="0"/>
          <w:numId w:val="44"/>
        </w:numPr>
        <w:ind w:left="-270"/>
        <w:rPr>
          <w:rFonts w:ascii="Palatino Linotype" w:hAnsi="Palatino Linotype" w:cs="Arial"/>
          <w:b/>
          <w:u w:val="single"/>
          <w:lang w:val="en-US"/>
        </w:rPr>
      </w:pPr>
      <w:r w:rsidRPr="00B82039">
        <w:rPr>
          <w:rFonts w:ascii="Palatino Linotype" w:hAnsi="Palatino Linotype" w:cs="Arial"/>
          <w:b/>
          <w:u w:val="single"/>
          <w:lang w:val="en-US"/>
        </w:rPr>
        <w:t>Focus areas of SEBI in the near future</w:t>
      </w:r>
    </w:p>
    <w:p w:rsidR="00E51198" w:rsidRPr="00B82039" w:rsidRDefault="00E51198" w:rsidP="00E51198">
      <w:pPr>
        <w:ind w:left="-270"/>
        <w:rPr>
          <w:rFonts w:ascii="Palatino Linotype" w:hAnsi="Palatino Linotype" w:cs="Arial"/>
          <w:b/>
          <w:u w:val="single"/>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lastRenderedPageBreak/>
        <w:t xml:space="preserve">Keeping pace with the growing importance of capital markets in the economy, SEBI has been active in its efforts to strengthen the robustness of the market. SEBI is quite an adaptive organization. As new market dynamics emerge, we have created new regulatory frameworks or modified the existing frameworks as required. For instance, not only we created frameworks for new instruments such as REITs and InvITs but also improved upon them, based on experience gained. For listing of startups, a separate platform called ‘Innovators Growth Platform’ was carved out. For fund raising requirements of the social sector, we are now in the process of setting up an entire ecosystem called the ‘Social Stock Exchange’. </w:t>
      </w:r>
    </w:p>
    <w:p w:rsidR="00E51198" w:rsidRPr="00B82039" w:rsidRDefault="00E51198" w:rsidP="00E51198">
      <w:pPr>
        <w:spacing w:line="360" w:lineRule="auto"/>
        <w:jc w:val="both"/>
        <w:rPr>
          <w:rFonts w:ascii="Palatino Linotype" w:hAnsi="Palatino Linotype" w:cs="Arial"/>
          <w:lang w:val="en-US"/>
        </w:rPr>
      </w:pPr>
    </w:p>
    <w:p w:rsidR="00E51198"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 xml:space="preserve">Several reforms are in the pipeline. Let me elaborate on some of the areas which are our focus areas in the near future. Given that the audience today is largely corporates, I will elaborate mainly on those areas which are relevant to the corporates. </w:t>
      </w:r>
    </w:p>
    <w:p w:rsidR="00E51198" w:rsidRPr="00B82039" w:rsidRDefault="00E51198" w:rsidP="00E51198">
      <w:pPr>
        <w:jc w:val="both"/>
        <w:rPr>
          <w:rFonts w:ascii="Palatino Linotype" w:hAnsi="Palatino Linotype" w:cs="Arial"/>
          <w:lang w:val="en-US"/>
        </w:rPr>
      </w:pPr>
    </w:p>
    <w:p w:rsidR="00B82039" w:rsidRDefault="00B82039" w:rsidP="00B82039">
      <w:pPr>
        <w:numPr>
          <w:ilvl w:val="1"/>
          <w:numId w:val="45"/>
        </w:numPr>
        <w:ind w:left="360"/>
        <w:jc w:val="both"/>
        <w:rPr>
          <w:rFonts w:ascii="Palatino Linotype" w:hAnsi="Palatino Linotype" w:cs="Arial"/>
          <w:lang w:val="en-US"/>
        </w:rPr>
      </w:pPr>
      <w:r w:rsidRPr="00B82039">
        <w:rPr>
          <w:rFonts w:ascii="Palatino Linotype" w:hAnsi="Palatino Linotype" w:cs="Arial"/>
          <w:u w:val="single"/>
          <w:lang w:val="en-US"/>
        </w:rPr>
        <w:t>Revisiting the concept of promoter and its related obligations</w:t>
      </w:r>
      <w:r w:rsidRPr="00B82039">
        <w:rPr>
          <w:rFonts w:ascii="Palatino Linotype" w:hAnsi="Palatino Linotype" w:cs="Arial"/>
          <w:lang w:val="en-US"/>
        </w:rPr>
        <w:t xml:space="preserve"> </w:t>
      </w:r>
    </w:p>
    <w:p w:rsidR="00E51198" w:rsidRPr="00B82039" w:rsidRDefault="00E51198" w:rsidP="00E51198">
      <w:pPr>
        <w:ind w:left="360"/>
        <w:jc w:val="both"/>
        <w:rPr>
          <w:rFonts w:ascii="Palatino Linotype" w:hAnsi="Palatino Linotype" w:cs="Arial"/>
          <w:lang w:val="en-US"/>
        </w:rPr>
      </w:pPr>
    </w:p>
    <w:p w:rsidR="00B82039" w:rsidRDefault="00B82039" w:rsidP="00E51198">
      <w:pPr>
        <w:numPr>
          <w:ilvl w:val="2"/>
          <w:numId w:val="45"/>
        </w:numPr>
        <w:spacing w:line="360" w:lineRule="auto"/>
        <w:ind w:left="629"/>
        <w:jc w:val="both"/>
        <w:rPr>
          <w:rFonts w:ascii="Palatino Linotype" w:hAnsi="Palatino Linotype" w:cs="Arial"/>
          <w:lang w:val="en-US"/>
        </w:rPr>
      </w:pPr>
      <w:r w:rsidRPr="00B82039">
        <w:rPr>
          <w:rFonts w:ascii="Palatino Linotype" w:hAnsi="Palatino Linotype" w:cs="Arial"/>
          <w:lang w:val="en-US"/>
        </w:rPr>
        <w:t xml:space="preserve">The concept of promoters has been existing in India for years. Concentrated ownership is still predominant in our country. However, over time, with high levels of PE/VC funding, increasing startup culture, new age companies coming up, etc., there is an increasing trend of companies with diversified shareholding and in many cases, with professional management and no promoters. </w:t>
      </w:r>
    </w:p>
    <w:p w:rsidR="00E51198" w:rsidRPr="00B82039" w:rsidRDefault="00E51198" w:rsidP="00E51198">
      <w:pPr>
        <w:spacing w:line="360" w:lineRule="auto"/>
        <w:ind w:left="629"/>
        <w:jc w:val="both"/>
        <w:rPr>
          <w:rFonts w:ascii="Palatino Linotype" w:hAnsi="Palatino Linotype" w:cs="Arial"/>
          <w:lang w:val="en-US"/>
        </w:rPr>
      </w:pPr>
    </w:p>
    <w:p w:rsidR="00B82039" w:rsidRDefault="00B82039" w:rsidP="00E51198">
      <w:pPr>
        <w:numPr>
          <w:ilvl w:val="2"/>
          <w:numId w:val="45"/>
        </w:numPr>
        <w:spacing w:line="360" w:lineRule="auto"/>
        <w:ind w:left="629"/>
        <w:jc w:val="both"/>
        <w:rPr>
          <w:rFonts w:ascii="Palatino Linotype" w:hAnsi="Palatino Linotype" w:cs="Arial"/>
          <w:lang w:val="en-US"/>
        </w:rPr>
      </w:pPr>
      <w:r w:rsidRPr="00B82039">
        <w:rPr>
          <w:rFonts w:ascii="Palatino Linotype" w:hAnsi="Palatino Linotype" w:cs="Arial"/>
          <w:lang w:val="en-US"/>
        </w:rPr>
        <w:t xml:space="preserve">SEBI had issued a consultation paper some time back seeking comments on whether there is a need to shift from the ‘promoter’ regime to a ‘controlling shareholder’ regime as it exists in many countries and if yes, the manner and timeframe for such a shift. With almost all corporate related laws in India based on the promoter concept, I need not emphasize how important and far reaching this proposal is. We are analyzing the feedback received for taking an appropriate view. </w:t>
      </w:r>
    </w:p>
    <w:p w:rsidR="00E51198" w:rsidRDefault="00E51198" w:rsidP="00E51198">
      <w:pPr>
        <w:pStyle w:val="ListParagraph"/>
        <w:rPr>
          <w:rFonts w:ascii="Palatino Linotype" w:hAnsi="Palatino Linotype" w:cs="Arial"/>
        </w:rPr>
      </w:pPr>
    </w:p>
    <w:p w:rsidR="00B877F4" w:rsidRDefault="00B877F4" w:rsidP="00E51198">
      <w:pPr>
        <w:pStyle w:val="ListParagraph"/>
        <w:rPr>
          <w:rFonts w:ascii="Palatino Linotype" w:hAnsi="Palatino Linotype" w:cs="Arial"/>
        </w:rPr>
      </w:pPr>
    </w:p>
    <w:p w:rsidR="00B877F4" w:rsidRDefault="00B877F4" w:rsidP="00E51198">
      <w:pPr>
        <w:pStyle w:val="ListParagraph"/>
        <w:rPr>
          <w:rFonts w:ascii="Palatino Linotype" w:hAnsi="Palatino Linotype" w:cs="Arial"/>
        </w:rPr>
      </w:pPr>
    </w:p>
    <w:p w:rsidR="00B877F4" w:rsidRDefault="00B877F4" w:rsidP="00E51198">
      <w:pPr>
        <w:pStyle w:val="ListParagraph"/>
        <w:rPr>
          <w:rFonts w:ascii="Palatino Linotype" w:hAnsi="Palatino Linotype" w:cs="Arial"/>
        </w:rPr>
      </w:pPr>
    </w:p>
    <w:p w:rsidR="00E51198" w:rsidRPr="00B82039" w:rsidRDefault="00E51198" w:rsidP="00E51198">
      <w:pPr>
        <w:jc w:val="both"/>
        <w:rPr>
          <w:rFonts w:ascii="Palatino Linotype" w:hAnsi="Palatino Linotype" w:cs="Arial"/>
          <w:lang w:val="en-US"/>
        </w:rPr>
      </w:pPr>
    </w:p>
    <w:p w:rsidR="00B82039" w:rsidRPr="00E51198" w:rsidRDefault="00B82039" w:rsidP="00B82039">
      <w:pPr>
        <w:numPr>
          <w:ilvl w:val="1"/>
          <w:numId w:val="45"/>
        </w:numPr>
        <w:ind w:left="360"/>
        <w:contextualSpacing/>
        <w:jc w:val="both"/>
        <w:rPr>
          <w:rFonts w:ascii="Palatino Linotype" w:hAnsi="Palatino Linotype" w:cs="Arial"/>
          <w:lang w:val="en-US"/>
        </w:rPr>
      </w:pPr>
      <w:r w:rsidRPr="00B82039">
        <w:rPr>
          <w:rFonts w:ascii="Palatino Linotype" w:hAnsi="Palatino Linotype" w:cs="Arial"/>
          <w:u w:val="single"/>
          <w:lang w:val="en-US"/>
        </w:rPr>
        <w:lastRenderedPageBreak/>
        <w:t>IPO and equity fund raising reforms</w:t>
      </w:r>
    </w:p>
    <w:p w:rsidR="00E51198" w:rsidRPr="00B82039" w:rsidRDefault="00E51198" w:rsidP="00E51198">
      <w:pPr>
        <w:ind w:left="360"/>
        <w:contextualSpacing/>
        <w:jc w:val="both"/>
        <w:rPr>
          <w:rFonts w:ascii="Palatino Linotype" w:hAnsi="Palatino Linotype" w:cs="Arial"/>
          <w:lang w:val="en-US"/>
        </w:rPr>
      </w:pPr>
    </w:p>
    <w:p w:rsidR="00B82039" w:rsidRDefault="00B82039" w:rsidP="00E51198">
      <w:pPr>
        <w:numPr>
          <w:ilvl w:val="2"/>
          <w:numId w:val="45"/>
        </w:numPr>
        <w:spacing w:line="360" w:lineRule="auto"/>
        <w:ind w:left="630"/>
        <w:jc w:val="both"/>
        <w:rPr>
          <w:rFonts w:ascii="Palatino Linotype" w:hAnsi="Palatino Linotype" w:cs="Arial"/>
          <w:lang w:val="en-US"/>
        </w:rPr>
      </w:pPr>
      <w:r w:rsidRPr="00B82039">
        <w:rPr>
          <w:rFonts w:ascii="Palatino Linotype" w:hAnsi="Palatino Linotype" w:cs="Arial"/>
          <w:lang w:val="en-US"/>
        </w:rPr>
        <w:t xml:space="preserve">As I elaborated earlier, the nature of fund raising has undergone a change over the years. SEBI has been constantly reviewing its existing regime for different modes of fund raising for some time now. We made several major changes particularly to the framework for rights issue and preferential issue in the last two years. The framework for Minimum Public Shareholding was revised so as to make it easy for large companies to do an IPO. The IGP framework was relaxed further to enable startups to list. </w:t>
      </w:r>
    </w:p>
    <w:p w:rsidR="00E51198" w:rsidRPr="00B82039" w:rsidRDefault="00E51198" w:rsidP="00E51198">
      <w:pPr>
        <w:spacing w:line="360" w:lineRule="auto"/>
        <w:ind w:left="630"/>
        <w:jc w:val="both"/>
        <w:rPr>
          <w:rFonts w:ascii="Palatino Linotype" w:hAnsi="Palatino Linotype" w:cs="Arial"/>
          <w:lang w:val="en-US"/>
        </w:rPr>
      </w:pPr>
    </w:p>
    <w:p w:rsidR="00B82039" w:rsidRDefault="00B82039" w:rsidP="00E51198">
      <w:pPr>
        <w:numPr>
          <w:ilvl w:val="2"/>
          <w:numId w:val="45"/>
        </w:numPr>
        <w:spacing w:line="360" w:lineRule="auto"/>
        <w:ind w:left="630"/>
        <w:jc w:val="both"/>
        <w:rPr>
          <w:rFonts w:ascii="Palatino Linotype" w:hAnsi="Palatino Linotype" w:cs="Arial"/>
          <w:lang w:val="en-US"/>
        </w:rPr>
      </w:pPr>
      <w:r w:rsidRPr="00B82039">
        <w:rPr>
          <w:rFonts w:ascii="Palatino Linotype" w:hAnsi="Palatino Linotype" w:cs="Arial"/>
          <w:lang w:val="en-US"/>
        </w:rPr>
        <w:t xml:space="preserve">In the near future, the focus on review of our equity fund raising norms will continue. At the beginning of this month, we put out a consultation paper for review of certain provisions relating to Superior Voting Rights shares. Along with consultation on moving to a controlling shareholder regime, we had also put out certain proposals to reduce promoter obligation at the time of IPO such as lock-in.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2"/>
          <w:numId w:val="45"/>
        </w:numPr>
        <w:spacing w:line="360" w:lineRule="auto"/>
        <w:ind w:left="630"/>
        <w:jc w:val="both"/>
        <w:rPr>
          <w:rFonts w:ascii="Palatino Linotype" w:hAnsi="Palatino Linotype" w:cs="Arial"/>
          <w:lang w:val="en-US"/>
        </w:rPr>
      </w:pPr>
      <w:r w:rsidRPr="00B82039">
        <w:rPr>
          <w:rFonts w:ascii="Palatino Linotype" w:hAnsi="Palatino Linotype" w:cs="Arial"/>
          <w:lang w:val="en-US"/>
        </w:rPr>
        <w:t xml:space="preserve">Meanwhile, SEBI’s Primary Market Advisory Committee is deliberating on whether a framework for SPACs should be introduced in India and if yes, given certain concerns being raised on such vehicles, with what safeguards. </w:t>
      </w:r>
    </w:p>
    <w:p w:rsidR="00E51198" w:rsidRPr="00B82039" w:rsidRDefault="00E51198" w:rsidP="00E51198">
      <w:pPr>
        <w:spacing w:line="360" w:lineRule="auto"/>
        <w:jc w:val="both"/>
        <w:rPr>
          <w:rFonts w:ascii="Palatino Linotype" w:hAnsi="Palatino Linotype" w:cs="Arial"/>
          <w:lang w:val="en-US"/>
        </w:rPr>
      </w:pPr>
    </w:p>
    <w:p w:rsidR="00B82039" w:rsidRPr="00E51198" w:rsidRDefault="00B82039" w:rsidP="00E51198">
      <w:pPr>
        <w:numPr>
          <w:ilvl w:val="2"/>
          <w:numId w:val="45"/>
        </w:numPr>
        <w:spacing w:line="360" w:lineRule="auto"/>
        <w:ind w:left="630"/>
        <w:jc w:val="both"/>
        <w:rPr>
          <w:rFonts w:ascii="Palatino Linotype" w:hAnsi="Palatino Linotype" w:cs="Arial"/>
          <w:u w:val="single"/>
          <w:lang w:val="en-US"/>
        </w:rPr>
      </w:pPr>
      <w:r w:rsidRPr="00B82039">
        <w:rPr>
          <w:rFonts w:ascii="Palatino Linotype" w:hAnsi="Palatino Linotype" w:cs="Arial"/>
          <w:lang w:val="en-US"/>
        </w:rPr>
        <w:t xml:space="preserve">We have few other proposals in pipeline that are in the early discussion stage – IPO reforms on the book building &amp; fixed price framework and provisions relating to price band and further reforms on preferential issue- being some of them. </w:t>
      </w:r>
    </w:p>
    <w:p w:rsidR="00E51198" w:rsidRPr="00B82039" w:rsidRDefault="00E51198" w:rsidP="00E51198">
      <w:pPr>
        <w:spacing w:line="360" w:lineRule="auto"/>
        <w:jc w:val="both"/>
        <w:rPr>
          <w:rFonts w:ascii="Palatino Linotype" w:hAnsi="Palatino Linotype" w:cs="Arial"/>
          <w:u w:val="single"/>
          <w:lang w:val="en-US"/>
        </w:rPr>
      </w:pPr>
    </w:p>
    <w:p w:rsidR="00B82039" w:rsidRDefault="00B82039" w:rsidP="00E51198">
      <w:pPr>
        <w:numPr>
          <w:ilvl w:val="1"/>
          <w:numId w:val="45"/>
        </w:numPr>
        <w:spacing w:line="360" w:lineRule="auto"/>
        <w:ind w:left="360"/>
        <w:contextualSpacing/>
        <w:jc w:val="both"/>
        <w:rPr>
          <w:rFonts w:ascii="Palatino Linotype" w:hAnsi="Palatino Linotype" w:cs="Arial"/>
          <w:lang w:val="en-US"/>
        </w:rPr>
      </w:pPr>
      <w:r w:rsidRPr="00B82039">
        <w:rPr>
          <w:rFonts w:ascii="Palatino Linotype" w:hAnsi="Palatino Linotype" w:cs="Arial"/>
          <w:u w:val="single"/>
          <w:lang w:val="en-US"/>
        </w:rPr>
        <w:t>ESG disclosures</w:t>
      </w:r>
      <w:r w:rsidRPr="00B82039">
        <w:rPr>
          <w:rFonts w:ascii="Palatino Linotype" w:hAnsi="Palatino Linotype" w:cs="Arial"/>
          <w:lang w:val="en-US"/>
        </w:rPr>
        <w:t xml:space="preserve"> </w:t>
      </w:r>
    </w:p>
    <w:p w:rsidR="00E51198" w:rsidRPr="00B82039" w:rsidRDefault="00E51198" w:rsidP="00E51198">
      <w:pPr>
        <w:spacing w:line="360" w:lineRule="auto"/>
        <w:ind w:left="360"/>
        <w:contextualSpacing/>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From Business Responsibility Reporting in 2012 to the Business Responsibility &amp; Sustainability Report in 2021, we have come a long way in corporate ESG disclosure requirements. World over, investors are demanding more and more disclosures on ESG aspects and with the new BRSR, we are fully geared up to provide such disclosures. </w:t>
      </w:r>
    </w:p>
    <w:p w:rsidR="00E51198" w:rsidRPr="00B82039" w:rsidRDefault="00E51198" w:rsidP="00E51198">
      <w:pPr>
        <w:spacing w:line="360" w:lineRule="auto"/>
        <w:ind w:left="540"/>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lastRenderedPageBreak/>
        <w:t xml:space="preserve">We had detailed deliberations with the industry including a specific roundtable for the same before we introduced BRSR. The industry had sought time to adapt to the new disclosure requirements &amp; accordingly, we adopted a phased approach. BRSR is voluntary for FY 2021-22 and mandatory from FY 2022-23 for the top 1000 listed companies. </w:t>
      </w:r>
    </w:p>
    <w:p w:rsidR="00E51198" w:rsidRPr="00B82039" w:rsidRDefault="00E51198" w:rsidP="00E51198">
      <w:pPr>
        <w:spacing w:line="360" w:lineRule="auto"/>
        <w:jc w:val="both"/>
        <w:rPr>
          <w:rFonts w:ascii="Palatino Linotype" w:hAnsi="Palatino Linotype" w:cs="Arial"/>
          <w:lang w:val="en-US"/>
        </w:rPr>
      </w:pPr>
    </w:p>
    <w:p w:rsidR="00B82039" w:rsidRPr="00E51198" w:rsidRDefault="00B82039" w:rsidP="00E51198">
      <w:pPr>
        <w:numPr>
          <w:ilvl w:val="2"/>
          <w:numId w:val="45"/>
        </w:numPr>
        <w:spacing w:line="360" w:lineRule="auto"/>
        <w:ind w:left="540"/>
        <w:jc w:val="both"/>
        <w:rPr>
          <w:rFonts w:ascii="Palatino Linotype" w:hAnsi="Palatino Linotype" w:cs="Arial"/>
          <w:u w:val="single"/>
          <w:lang w:val="en-US"/>
        </w:rPr>
      </w:pPr>
      <w:r w:rsidRPr="00B82039">
        <w:rPr>
          <w:rFonts w:ascii="Palatino Linotype" w:hAnsi="Palatino Linotype" w:cs="Arial"/>
          <w:lang w:val="en-US"/>
        </w:rPr>
        <w:t xml:space="preserve">Though FY2022-23 may seem far away, many disclosures may require measurement &amp; other operational set-up from beginning of the financial year itself. The groundwork for that may have to begin even earlier. Given this, I implore the industry to prepare themselves from now itself so that there is a smooth transition to the mandatory ESG regime from FY 2022-23. </w:t>
      </w:r>
    </w:p>
    <w:p w:rsidR="00E51198" w:rsidRPr="00B82039" w:rsidRDefault="00E51198" w:rsidP="00E51198">
      <w:pPr>
        <w:spacing w:line="360" w:lineRule="auto"/>
        <w:jc w:val="both"/>
        <w:rPr>
          <w:rFonts w:ascii="Palatino Linotype" w:hAnsi="Palatino Linotype" w:cs="Arial"/>
          <w:u w:val="single"/>
          <w:lang w:val="en-US"/>
        </w:rPr>
      </w:pPr>
    </w:p>
    <w:p w:rsidR="00B82039" w:rsidRDefault="00B82039" w:rsidP="00E51198">
      <w:pPr>
        <w:numPr>
          <w:ilvl w:val="1"/>
          <w:numId w:val="45"/>
        </w:numPr>
        <w:spacing w:line="360" w:lineRule="auto"/>
        <w:ind w:left="360"/>
        <w:contextualSpacing/>
        <w:jc w:val="both"/>
        <w:rPr>
          <w:rFonts w:ascii="Palatino Linotype" w:hAnsi="Palatino Linotype" w:cs="Arial"/>
          <w:u w:val="single"/>
          <w:lang w:val="en-US"/>
        </w:rPr>
      </w:pPr>
      <w:r w:rsidRPr="00B82039">
        <w:rPr>
          <w:rFonts w:ascii="Palatino Linotype" w:hAnsi="Palatino Linotype" w:cs="Arial"/>
          <w:u w:val="single"/>
          <w:lang w:val="en-US"/>
        </w:rPr>
        <w:t>Corporate governance</w:t>
      </w:r>
    </w:p>
    <w:p w:rsidR="00E51198" w:rsidRPr="00B82039" w:rsidRDefault="00E51198" w:rsidP="00E51198">
      <w:pPr>
        <w:spacing w:line="360" w:lineRule="auto"/>
        <w:ind w:left="360"/>
        <w:contextualSpacing/>
        <w:jc w:val="both"/>
        <w:rPr>
          <w:rFonts w:ascii="Palatino Linotype" w:hAnsi="Palatino Linotype" w:cs="Arial"/>
          <w:u w:val="single"/>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Corporate Governance is a wide subject. The continuous focus of SEBI on corporate governance improvement is something all of you know well and I do not need to elaborate on it. Recently, we also came out with some additional measures to strengthen the institution of independent directors. </w:t>
      </w:r>
    </w:p>
    <w:p w:rsidR="00E51198" w:rsidRPr="00B82039" w:rsidRDefault="00E51198" w:rsidP="00E51198">
      <w:pPr>
        <w:spacing w:line="360" w:lineRule="auto"/>
        <w:ind w:left="540"/>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While independent directors have a critical role in protecting the interests of minority shareholders, another set of directors who ought to play more active role in improving corporate governance standards are representatives of institutional shareholders on the Board, whether as nominee directors or otherwise. I strongly urge such representative directors to act as a bulwark along with the independent directors in support of strong governance in the companies.</w:t>
      </w:r>
    </w:p>
    <w:p w:rsidR="00E51198" w:rsidRDefault="00E51198" w:rsidP="00E51198">
      <w:pPr>
        <w:pStyle w:val="ListParagraph"/>
        <w:spacing w:after="0" w:line="360" w:lineRule="auto"/>
        <w:rPr>
          <w:rFonts w:ascii="Palatino Linotype" w:hAnsi="Palatino Linotype" w:cs="Arial"/>
        </w:rPr>
      </w:pPr>
    </w:p>
    <w:p w:rsidR="00E51198" w:rsidRPr="00B82039" w:rsidRDefault="00E51198" w:rsidP="00E51198">
      <w:pPr>
        <w:spacing w:line="360" w:lineRule="auto"/>
        <w:ind w:left="540"/>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The need to continuously improve the corporate governance standards and transparency is something which should come from within the company itself, especially from its board of directors. With the increased awareness and maturing of capital markets, well </w:t>
      </w:r>
      <w:r w:rsidRPr="00B82039">
        <w:rPr>
          <w:rFonts w:ascii="Palatino Linotype" w:hAnsi="Palatino Linotype" w:cs="Arial"/>
          <w:lang w:val="en-US"/>
        </w:rPr>
        <w:lastRenderedPageBreak/>
        <w:t>governed companies carry the trust of investors and reap benefits in the long run.  I request FICCI, as an industry body, to step up its efforts on corporate governance improvement of its members. If the industry self-governs well, the need for the regulator to step in every time will not arise.</w:t>
      </w:r>
    </w:p>
    <w:p w:rsidR="00E51198" w:rsidRPr="00B82039" w:rsidRDefault="00E51198" w:rsidP="00E51198">
      <w:pPr>
        <w:spacing w:line="360" w:lineRule="auto"/>
        <w:ind w:left="540"/>
        <w:jc w:val="both"/>
        <w:rPr>
          <w:rFonts w:ascii="Palatino Linotype" w:hAnsi="Palatino Linotype" w:cs="Arial"/>
          <w:lang w:val="en-US"/>
        </w:rPr>
      </w:pPr>
    </w:p>
    <w:p w:rsidR="00B82039" w:rsidRDefault="00B82039" w:rsidP="00E51198">
      <w:pPr>
        <w:numPr>
          <w:ilvl w:val="1"/>
          <w:numId w:val="45"/>
        </w:numPr>
        <w:spacing w:line="360" w:lineRule="auto"/>
        <w:ind w:left="360"/>
        <w:contextualSpacing/>
        <w:jc w:val="both"/>
        <w:rPr>
          <w:rFonts w:ascii="Palatino Linotype" w:hAnsi="Palatino Linotype" w:cs="Arial"/>
          <w:u w:val="single"/>
          <w:lang w:val="en-US"/>
        </w:rPr>
      </w:pPr>
      <w:r w:rsidRPr="00B82039">
        <w:rPr>
          <w:rFonts w:ascii="Palatino Linotype" w:hAnsi="Palatino Linotype" w:cs="Arial"/>
          <w:u w:val="single"/>
          <w:lang w:val="en-US"/>
        </w:rPr>
        <w:t>Disclosures</w:t>
      </w:r>
    </w:p>
    <w:p w:rsidR="00E51198" w:rsidRPr="00B82039" w:rsidRDefault="00E51198" w:rsidP="00E51198">
      <w:pPr>
        <w:spacing w:line="360" w:lineRule="auto"/>
        <w:ind w:left="360"/>
        <w:contextualSpacing/>
        <w:jc w:val="both"/>
        <w:rPr>
          <w:rFonts w:ascii="Palatino Linotype" w:hAnsi="Palatino Linotype" w:cs="Arial"/>
          <w:u w:val="single"/>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Apart from disclosures in fund raising documents, SEBI Regulations primarily require listed companies to have two sets of disclosures- Firstly, periodic disclosures where formats have been prescribed by SEBI and secondly, disclosures of material events where certain events have been deemed as material and must be disclosed &amp; the others to be disclosed if considered by the company &amp; its Board to be material. </w:t>
      </w:r>
    </w:p>
    <w:p w:rsidR="00E51198" w:rsidRPr="00B82039" w:rsidRDefault="00E51198" w:rsidP="00E51198">
      <w:pPr>
        <w:spacing w:line="360" w:lineRule="auto"/>
        <w:ind w:left="540"/>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On both these aspects, I must say, disclosures by many companies are lacking. On periodic disclosures such as Annual Reports, while all the fields are being filled in, in many cases, they appear more like a check-box exercise. This is not acceptable. Documents as important as the financial results, annual reports, corporate governance reports and others need the level of quality the investors deserve.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Not only the periodic disclosures, we often see that companies do not go beyond the deemed material events specified in SEBI Regulations to disclose material events. In several cases, articles appear in the media which are followed by stock exchanges seeking clarification on the same from the companies and the companies then replying to the exchanges on the queries sought. This is surely not the right way to go.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2"/>
          <w:numId w:val="45"/>
        </w:numPr>
        <w:spacing w:line="360" w:lineRule="auto"/>
        <w:ind w:left="540"/>
        <w:jc w:val="both"/>
        <w:rPr>
          <w:rFonts w:ascii="Palatino Linotype" w:hAnsi="Palatino Linotype" w:cs="Arial"/>
          <w:lang w:val="en-US"/>
        </w:rPr>
      </w:pPr>
      <w:r w:rsidRPr="00B82039">
        <w:rPr>
          <w:rFonts w:ascii="Palatino Linotype" w:hAnsi="Palatino Linotype" w:cs="Arial"/>
          <w:lang w:val="en-US"/>
        </w:rPr>
        <w:t xml:space="preserve">I once again use this forum to request the companies, their management and the Board to actively revisit their materiality policies and see whether disclosures of material events as per the Regulations are being met not just in letter but in spirit as well. </w:t>
      </w:r>
    </w:p>
    <w:p w:rsidR="00E51198" w:rsidRPr="00B82039" w:rsidRDefault="00E51198" w:rsidP="00E51198">
      <w:pPr>
        <w:spacing w:line="360" w:lineRule="auto"/>
        <w:jc w:val="both"/>
        <w:rPr>
          <w:rFonts w:ascii="Palatino Linotype" w:hAnsi="Palatino Linotype" w:cs="Arial"/>
          <w:lang w:val="en-US"/>
        </w:rPr>
      </w:pPr>
    </w:p>
    <w:p w:rsidR="00B82039" w:rsidRDefault="00B82039" w:rsidP="00E51198">
      <w:pPr>
        <w:numPr>
          <w:ilvl w:val="1"/>
          <w:numId w:val="45"/>
        </w:numPr>
        <w:spacing w:line="360" w:lineRule="auto"/>
        <w:ind w:left="360"/>
        <w:contextualSpacing/>
        <w:jc w:val="both"/>
        <w:rPr>
          <w:rFonts w:ascii="Palatino Linotype" w:hAnsi="Palatino Linotype" w:cs="Arial"/>
          <w:u w:val="single"/>
          <w:lang w:val="en-US"/>
        </w:rPr>
      </w:pPr>
      <w:r w:rsidRPr="00B82039">
        <w:rPr>
          <w:rFonts w:ascii="Palatino Linotype" w:hAnsi="Palatino Linotype" w:cs="Arial"/>
          <w:u w:val="single"/>
          <w:lang w:val="en-US"/>
        </w:rPr>
        <w:t>Technology</w:t>
      </w:r>
    </w:p>
    <w:p w:rsidR="00E51198" w:rsidRPr="00B82039" w:rsidRDefault="00E51198" w:rsidP="00E51198">
      <w:pPr>
        <w:spacing w:line="360" w:lineRule="auto"/>
        <w:ind w:left="360"/>
        <w:contextualSpacing/>
        <w:jc w:val="both"/>
        <w:rPr>
          <w:rFonts w:ascii="Palatino Linotype" w:hAnsi="Palatino Linotype" w:cs="Arial"/>
          <w:u w:val="single"/>
          <w:lang w:val="en-US"/>
        </w:rPr>
      </w:pPr>
    </w:p>
    <w:p w:rsidR="00B82039" w:rsidRPr="00E51198" w:rsidRDefault="00B82039" w:rsidP="00E51198">
      <w:pPr>
        <w:numPr>
          <w:ilvl w:val="2"/>
          <w:numId w:val="45"/>
        </w:numPr>
        <w:spacing w:line="360" w:lineRule="auto"/>
        <w:ind w:left="540"/>
        <w:contextualSpacing/>
        <w:jc w:val="both"/>
        <w:rPr>
          <w:rFonts w:ascii="Palatino Linotype" w:hAnsi="Palatino Linotype" w:cs="Arial"/>
          <w:u w:val="single"/>
          <w:lang w:val="en-US"/>
        </w:rPr>
      </w:pPr>
      <w:r w:rsidRPr="00B82039">
        <w:rPr>
          <w:rFonts w:ascii="Palatino Linotype" w:hAnsi="Palatino Linotype" w:cs="Arial"/>
          <w:lang w:val="en-US"/>
        </w:rPr>
        <w:t xml:space="preserve">The last point which I want to focus on is technology. In these pandemic times, both shareholder and Board meetings have moved from physical to virtual mode. This is definitely positive, especially in today’s times where having physical meetings are not just difficult but also may not be desirable in certain circumstances. </w:t>
      </w:r>
    </w:p>
    <w:p w:rsidR="00E51198" w:rsidRPr="00B82039" w:rsidRDefault="00E51198" w:rsidP="00E51198">
      <w:pPr>
        <w:spacing w:line="360" w:lineRule="auto"/>
        <w:ind w:left="540"/>
        <w:contextualSpacing/>
        <w:jc w:val="both"/>
        <w:rPr>
          <w:rFonts w:ascii="Palatino Linotype" w:hAnsi="Palatino Linotype" w:cs="Arial"/>
          <w:u w:val="single"/>
          <w:lang w:val="en-US"/>
        </w:rPr>
      </w:pPr>
    </w:p>
    <w:p w:rsidR="00B82039" w:rsidRPr="00E51198" w:rsidRDefault="00B82039" w:rsidP="00E51198">
      <w:pPr>
        <w:numPr>
          <w:ilvl w:val="2"/>
          <w:numId w:val="45"/>
        </w:numPr>
        <w:spacing w:line="360" w:lineRule="auto"/>
        <w:ind w:left="540"/>
        <w:contextualSpacing/>
        <w:jc w:val="both"/>
        <w:rPr>
          <w:rFonts w:ascii="Palatino Linotype" w:hAnsi="Palatino Linotype" w:cs="Arial"/>
          <w:b/>
          <w:u w:val="single"/>
          <w:lang w:val="en-US"/>
        </w:rPr>
      </w:pPr>
      <w:r w:rsidRPr="00B82039">
        <w:rPr>
          <w:rFonts w:ascii="Palatino Linotype" w:hAnsi="Palatino Linotype" w:cs="Arial"/>
          <w:lang w:val="en-US"/>
        </w:rPr>
        <w:t xml:space="preserve">However, the virtual mode has created its own set of concerns. Of particular concern are the issues of confidentiality in Board meetings and whether shareholders’ voice is being properly heard in shareholder meetings. While SEBI will definitely examine specific cases which are brought to its notice, I would advise companies and their top management to ensure that such concerns are adequately addressed. </w:t>
      </w:r>
    </w:p>
    <w:p w:rsidR="00B82039" w:rsidRPr="00B82039" w:rsidRDefault="00B82039" w:rsidP="00B82039">
      <w:pPr>
        <w:rPr>
          <w:rFonts w:ascii="Palatino Linotype" w:hAnsi="Palatino Linotype" w:cs="Arial"/>
          <w:b/>
          <w:u w:val="single"/>
          <w:lang w:val="en-US"/>
        </w:rPr>
      </w:pPr>
    </w:p>
    <w:p w:rsidR="00B82039" w:rsidRDefault="00B82039" w:rsidP="00B82039">
      <w:pPr>
        <w:numPr>
          <w:ilvl w:val="0"/>
          <w:numId w:val="44"/>
        </w:numPr>
        <w:ind w:left="-180"/>
        <w:rPr>
          <w:rFonts w:ascii="Palatino Linotype" w:hAnsi="Palatino Linotype" w:cs="Arial"/>
          <w:b/>
          <w:u w:val="single"/>
          <w:lang w:val="en-US"/>
        </w:rPr>
      </w:pPr>
      <w:r w:rsidRPr="00B82039">
        <w:rPr>
          <w:rFonts w:ascii="Palatino Linotype" w:hAnsi="Palatino Linotype" w:cs="Arial"/>
          <w:b/>
          <w:u w:val="single"/>
          <w:lang w:val="en-US"/>
        </w:rPr>
        <w:t xml:space="preserve">Concluding remarks </w:t>
      </w:r>
    </w:p>
    <w:p w:rsidR="00E51198" w:rsidRPr="00B82039" w:rsidRDefault="00E51198" w:rsidP="00E51198">
      <w:pPr>
        <w:ind w:left="-180"/>
        <w:rPr>
          <w:rFonts w:ascii="Palatino Linotype" w:hAnsi="Palatino Linotype" w:cs="Arial"/>
          <w:b/>
          <w:u w:val="single"/>
          <w:lang w:val="en-US"/>
        </w:rPr>
      </w:pPr>
    </w:p>
    <w:p w:rsidR="00B82039" w:rsidRDefault="00B82039" w:rsidP="00E51198">
      <w:pPr>
        <w:numPr>
          <w:ilvl w:val="0"/>
          <w:numId w:val="43"/>
        </w:numPr>
        <w:spacing w:line="360" w:lineRule="auto"/>
        <w:ind w:left="0"/>
        <w:jc w:val="both"/>
        <w:rPr>
          <w:rFonts w:ascii="Palatino Linotype" w:hAnsi="Palatino Linotype" w:cs="Arial"/>
          <w:lang w:val="en-US"/>
        </w:rPr>
      </w:pPr>
      <w:r w:rsidRPr="00B82039">
        <w:rPr>
          <w:rFonts w:ascii="Palatino Linotype" w:hAnsi="Palatino Linotype" w:cs="Arial"/>
          <w:lang w:val="en-US"/>
        </w:rPr>
        <w:t>SEBI, in its capacity as the regulator of capital markets, will continue in its efforts to strengthen the robustness of capital markets on a continuous basis. As stalwarts of the industry, I appeal to all of you to actively contribute in this direction. Giving suggestions to SEBI is one way of doing this and we always welcome good ideas. Another way is to simply constantly review policies and procedures in your own companies, improving upon them and ensuring that they are world class.</w:t>
      </w:r>
    </w:p>
    <w:p w:rsidR="00E51198" w:rsidRPr="00B82039" w:rsidRDefault="00E51198" w:rsidP="00E51198">
      <w:pPr>
        <w:spacing w:line="360" w:lineRule="auto"/>
        <w:jc w:val="both"/>
        <w:rPr>
          <w:rFonts w:ascii="Palatino Linotype" w:hAnsi="Palatino Linotype" w:cs="Arial"/>
          <w:lang w:val="en-US"/>
        </w:rPr>
      </w:pPr>
    </w:p>
    <w:p w:rsidR="00B82039" w:rsidRPr="00B82039" w:rsidRDefault="00B82039" w:rsidP="00E51198">
      <w:pPr>
        <w:spacing w:line="360" w:lineRule="auto"/>
        <w:ind w:left="-540"/>
        <w:jc w:val="both"/>
        <w:rPr>
          <w:rFonts w:ascii="Palatino Linotype" w:hAnsi="Palatino Linotype" w:cstheme="minorBidi"/>
          <w:lang w:val="en-IN"/>
        </w:rPr>
      </w:pPr>
      <w:r w:rsidRPr="00B82039">
        <w:rPr>
          <w:rFonts w:ascii="Palatino Linotype" w:hAnsi="Palatino Linotype" w:cs="Arial"/>
          <w:lang w:val="en-US"/>
        </w:rPr>
        <w:t>Thank you and wishing you a great day ahead.</w:t>
      </w:r>
    </w:p>
    <w:p w:rsidR="001A7518" w:rsidRPr="00B82039" w:rsidRDefault="001A7518" w:rsidP="00B43812">
      <w:pPr>
        <w:jc w:val="both"/>
        <w:outlineLvl w:val="0"/>
        <w:rPr>
          <w:rFonts w:ascii="Palatino Linotype" w:hAnsi="Palatino Linotype" w:cs="Helvetica"/>
          <w:b/>
          <w:color w:val="000099"/>
        </w:rPr>
      </w:pPr>
    </w:p>
    <w:p w:rsidR="00B82039" w:rsidRDefault="00B82039" w:rsidP="00B43812">
      <w:pPr>
        <w:jc w:val="both"/>
        <w:outlineLvl w:val="0"/>
        <w:rPr>
          <w:rFonts w:ascii="Palatino Linotype" w:hAnsi="Palatino Linotype" w:cs="Helvetica"/>
          <w:b/>
          <w:color w:val="000099"/>
          <w:sz w:val="28"/>
          <w:szCs w:val="28"/>
        </w:rPr>
      </w:pPr>
    </w:p>
    <w:p w:rsidR="00E51198" w:rsidRDefault="00E51198">
      <w:pPr>
        <w:rPr>
          <w:rFonts w:ascii="Palatino Linotype" w:hAnsi="Palatino Linotype" w:cs="Helvetica"/>
          <w:b/>
          <w:color w:val="000099"/>
          <w:sz w:val="28"/>
          <w:szCs w:val="28"/>
        </w:rPr>
      </w:pPr>
      <w:r>
        <w:rPr>
          <w:rFonts w:ascii="Palatino Linotype" w:hAnsi="Palatino Linotype" w:cs="Helvetica"/>
          <w:b/>
          <w:color w:val="000099"/>
          <w:sz w:val="28"/>
          <w:szCs w:val="28"/>
        </w:rPr>
        <w:br w:type="page"/>
      </w: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lastRenderedPageBreak/>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3B1F08" w:rsidRDefault="003B1F08" w:rsidP="003F4581">
      <w:pPr>
        <w:widowControl w:val="0"/>
        <w:ind w:left="-284"/>
        <w:jc w:val="both"/>
        <w:rPr>
          <w:rFonts w:ascii="Palatino Linotype" w:hAnsi="Palatino Linotype"/>
          <w:b/>
          <w:color w:val="0F0684"/>
        </w:rPr>
      </w:pPr>
    </w:p>
    <w:p w:rsidR="00DB7D3F" w:rsidRPr="00DB7D3F" w:rsidRDefault="00DB7D3F" w:rsidP="00DB7D3F">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Trends in Resource Mobilisation by Corporates  </w:t>
      </w:r>
    </w:p>
    <w:p w:rsidR="00DB7D3F" w:rsidRPr="00DB7D3F" w:rsidRDefault="00DB7D3F" w:rsidP="00DB7D3F">
      <w:pPr>
        <w:widowControl w:val="0"/>
        <w:spacing w:line="276" w:lineRule="auto"/>
        <w:jc w:val="both"/>
        <w:rPr>
          <w:rFonts w:ascii="Palatino Linotype" w:eastAsia="Palatino Linotype" w:hAnsi="Palatino Linotype" w:cs="Palatino Linotype"/>
          <w:b/>
          <w:color w:val="2E74B5"/>
          <w:sz w:val="22"/>
          <w:szCs w:val="22"/>
          <w:highlight w:val="yellow"/>
        </w:rPr>
      </w:pPr>
    </w:p>
    <w:p w:rsidR="00DB7D3F" w:rsidRDefault="00DB7D3F" w:rsidP="00DB7D3F">
      <w:pPr>
        <w:widowControl w:val="0"/>
        <w:spacing w:line="276" w:lineRule="auto"/>
        <w:ind w:firstLine="454"/>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Table 1: Fund Mobilisation by Corporates (</w:t>
      </w:r>
      <w:r w:rsidRPr="00DB7D3F">
        <w:rPr>
          <w:rFonts w:ascii="Times New Roman" w:eastAsia="Tahoma" w:hAnsi="Times New Roman"/>
          <w:b/>
          <w:sz w:val="22"/>
          <w:szCs w:val="22"/>
        </w:rPr>
        <w:t xml:space="preserve">₹ </w:t>
      </w:r>
      <w:r w:rsidRPr="00DB7D3F">
        <w:rPr>
          <w:rFonts w:ascii="Palatino Linotype" w:eastAsia="Palatino Linotype" w:hAnsi="Palatino Linotype" w:cs="Palatino Linotype"/>
          <w:b/>
          <w:sz w:val="22"/>
          <w:szCs w:val="22"/>
        </w:rPr>
        <w:t xml:space="preserve">crore) </w:t>
      </w:r>
    </w:p>
    <w:tbl>
      <w:tblPr>
        <w:tblW w:w="7743" w:type="dxa"/>
        <w:tblInd w:w="546" w:type="dxa"/>
        <w:tblLook w:val="04A0" w:firstRow="1" w:lastRow="0" w:firstColumn="1" w:lastColumn="0" w:noHBand="0" w:noVBand="1"/>
      </w:tblPr>
      <w:tblGrid>
        <w:gridCol w:w="5423"/>
        <w:gridCol w:w="1160"/>
        <w:gridCol w:w="1160"/>
      </w:tblGrid>
      <w:tr w:rsidR="005D5D3B" w:rsidRPr="005D5D3B" w:rsidTr="005D5D3B">
        <w:trPr>
          <w:trHeight w:val="294"/>
        </w:trPr>
        <w:tc>
          <w:tcPr>
            <w:tcW w:w="5423"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5D5D3B" w:rsidRPr="005D5D3B" w:rsidRDefault="005D5D3B" w:rsidP="005D5D3B">
            <w:pPr>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Particulars</w:t>
            </w:r>
          </w:p>
        </w:tc>
        <w:tc>
          <w:tcPr>
            <w:tcW w:w="1160" w:type="dxa"/>
            <w:tcBorders>
              <w:top w:val="single" w:sz="4" w:space="0" w:color="000000"/>
              <w:left w:val="nil"/>
              <w:bottom w:val="single" w:sz="4" w:space="0" w:color="000000"/>
              <w:right w:val="single" w:sz="4" w:space="0" w:color="000000"/>
            </w:tcBorders>
            <w:shd w:val="clear" w:color="A9D08E" w:fill="A9D08E"/>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Jun-21</w:t>
            </w:r>
          </w:p>
        </w:tc>
        <w:tc>
          <w:tcPr>
            <w:tcW w:w="1160" w:type="dxa"/>
            <w:tcBorders>
              <w:top w:val="single" w:sz="4" w:space="0" w:color="000000"/>
              <w:left w:val="nil"/>
              <w:bottom w:val="single" w:sz="4" w:space="0" w:color="000000"/>
              <w:right w:val="single" w:sz="4" w:space="0" w:color="000000"/>
            </w:tcBorders>
            <w:shd w:val="clear" w:color="A9D08E" w:fill="A9D08E"/>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Jul-21</w:t>
            </w:r>
          </w:p>
        </w:tc>
      </w:tr>
      <w:tr w:rsidR="005D5D3B" w:rsidRPr="005D5D3B" w:rsidTr="005D5D3B">
        <w:trPr>
          <w:trHeight w:val="294"/>
        </w:trPr>
        <w:tc>
          <w:tcPr>
            <w:tcW w:w="5423" w:type="dxa"/>
            <w:tcBorders>
              <w:top w:val="nil"/>
              <w:left w:val="single" w:sz="4" w:space="0" w:color="000000"/>
              <w:bottom w:val="single" w:sz="4" w:space="0" w:color="000000"/>
              <w:right w:val="nil"/>
            </w:tcBorders>
            <w:shd w:val="clear" w:color="auto" w:fill="auto"/>
            <w:vAlign w:val="center"/>
            <w:hideMark/>
          </w:tcPr>
          <w:p w:rsidR="005D5D3B" w:rsidRPr="005D5D3B" w:rsidRDefault="005D5D3B" w:rsidP="005D5D3B">
            <w:pPr>
              <w:rPr>
                <w:rFonts w:ascii="Garamond" w:eastAsia="Times New Roman" w:hAnsi="Garamond"/>
                <w:b/>
                <w:bCs/>
                <w:i/>
                <w:iCs/>
                <w:color w:val="000000"/>
                <w:sz w:val="22"/>
                <w:szCs w:val="22"/>
                <w:lang w:val="en-IN" w:eastAsia="en-IN" w:bidi="hi-IN"/>
              </w:rPr>
            </w:pPr>
            <w:r w:rsidRPr="005D5D3B">
              <w:rPr>
                <w:rFonts w:ascii="Garamond" w:eastAsia="Times New Roman" w:hAnsi="Garamond"/>
                <w:b/>
                <w:bCs/>
                <w:i/>
                <w:iCs/>
                <w:color w:val="000000"/>
                <w:sz w:val="22"/>
                <w:szCs w:val="22"/>
                <w:lang w:val="en-IN" w:eastAsia="en-IN" w:bidi="hi-IN"/>
              </w:rPr>
              <w:t>I. Equity Issue</w:t>
            </w:r>
          </w:p>
        </w:tc>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24,643</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21,537</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a. IPOs (i+ii)</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9,146</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13,198</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i/>
                <w:iCs/>
                <w:color w:val="000000"/>
                <w:sz w:val="22"/>
                <w:szCs w:val="22"/>
                <w:lang w:val="en-IN" w:eastAsia="en-IN" w:bidi="hi-IN"/>
              </w:rPr>
            </w:pPr>
            <w:r w:rsidRPr="005D5D3B">
              <w:rPr>
                <w:rFonts w:ascii="Garamond" w:eastAsia="Times New Roman" w:hAnsi="Garamond"/>
                <w:i/>
                <w:iCs/>
                <w:color w:val="000000"/>
                <w:sz w:val="22"/>
                <w:szCs w:val="22"/>
                <w:lang w:val="en-IN" w:eastAsia="en-IN" w:bidi="hi-IN"/>
              </w:rPr>
              <w:t xml:space="preserve">    i. Main Board</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9,122</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13,184</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i/>
                <w:iCs/>
                <w:color w:val="000000"/>
                <w:sz w:val="22"/>
                <w:szCs w:val="22"/>
                <w:lang w:val="en-IN" w:eastAsia="en-IN" w:bidi="hi-IN"/>
              </w:rPr>
            </w:pPr>
            <w:r w:rsidRPr="005D5D3B">
              <w:rPr>
                <w:rFonts w:ascii="Garamond" w:eastAsia="Times New Roman" w:hAnsi="Garamond"/>
                <w:i/>
                <w:iCs/>
                <w:color w:val="000000"/>
                <w:sz w:val="22"/>
                <w:szCs w:val="22"/>
                <w:lang w:val="en-IN" w:eastAsia="en-IN" w:bidi="hi-IN"/>
              </w:rPr>
              <w:t xml:space="preserve">    ii. SME Platform</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24</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14</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b. FPOs</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0</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0</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c. Equity Rights Issue</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404</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54</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d. QIP/IPP</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4,450</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1,684</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e. Preferential Allotment</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10,643</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6,601</w:t>
            </w:r>
          </w:p>
        </w:tc>
      </w:tr>
      <w:tr w:rsidR="005D5D3B" w:rsidRPr="005D5D3B" w:rsidTr="005D5D3B">
        <w:trPr>
          <w:trHeight w:val="294"/>
        </w:trPr>
        <w:tc>
          <w:tcPr>
            <w:tcW w:w="5423" w:type="dxa"/>
            <w:tcBorders>
              <w:top w:val="nil"/>
              <w:left w:val="single" w:sz="4" w:space="0" w:color="000000"/>
              <w:bottom w:val="single" w:sz="4" w:space="0" w:color="000000"/>
              <w:right w:val="nil"/>
            </w:tcBorders>
            <w:shd w:val="clear" w:color="auto" w:fill="auto"/>
            <w:vAlign w:val="center"/>
            <w:hideMark/>
          </w:tcPr>
          <w:p w:rsidR="005D5D3B" w:rsidRPr="005D5D3B" w:rsidRDefault="005D5D3B" w:rsidP="005D5D3B">
            <w:pPr>
              <w:rPr>
                <w:rFonts w:ascii="Garamond" w:eastAsia="Times New Roman" w:hAnsi="Garamond"/>
                <w:b/>
                <w:bCs/>
                <w:i/>
                <w:iCs/>
                <w:color w:val="000000"/>
                <w:sz w:val="22"/>
                <w:szCs w:val="22"/>
                <w:lang w:val="en-IN" w:eastAsia="en-IN" w:bidi="hi-IN"/>
              </w:rPr>
            </w:pPr>
            <w:r w:rsidRPr="005D5D3B">
              <w:rPr>
                <w:rFonts w:ascii="Garamond" w:eastAsia="Times New Roman" w:hAnsi="Garamond"/>
                <w:b/>
                <w:bCs/>
                <w:i/>
                <w:iCs/>
                <w:color w:val="000000"/>
                <w:sz w:val="22"/>
                <w:szCs w:val="22"/>
                <w:lang w:val="en-IN" w:eastAsia="en-IN" w:bidi="hi-IN"/>
              </w:rPr>
              <w:t xml:space="preserve">II. Debt Issue </w:t>
            </w:r>
          </w:p>
        </w:tc>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42,051</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31,233</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a. Debt Public Issue</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0</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1,153</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b. Private Placement of Debt</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 xml:space="preserve">      42,051 </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color w:val="000000"/>
                <w:sz w:val="22"/>
                <w:szCs w:val="22"/>
                <w:lang w:val="en-IN" w:eastAsia="en-IN" w:bidi="hi-IN"/>
              </w:rPr>
            </w:pPr>
            <w:r w:rsidRPr="005D5D3B">
              <w:rPr>
                <w:rFonts w:ascii="Garamond" w:eastAsia="Times New Roman" w:hAnsi="Garamond"/>
                <w:color w:val="000000"/>
                <w:sz w:val="22"/>
                <w:szCs w:val="22"/>
                <w:lang w:val="en-IN" w:eastAsia="en-IN" w:bidi="hi-IN"/>
              </w:rPr>
              <w:t xml:space="preserve">      30,081 </w:t>
            </w:r>
          </w:p>
        </w:tc>
      </w:tr>
      <w:tr w:rsidR="005D5D3B" w:rsidRPr="005D5D3B" w:rsidTr="005D5D3B">
        <w:trPr>
          <w:trHeight w:val="294"/>
        </w:trPr>
        <w:tc>
          <w:tcPr>
            <w:tcW w:w="5423" w:type="dxa"/>
            <w:tcBorders>
              <w:top w:val="nil"/>
              <w:left w:val="single" w:sz="4" w:space="0" w:color="000000"/>
              <w:bottom w:val="single" w:sz="4" w:space="0" w:color="000000"/>
              <w:right w:val="single" w:sz="4" w:space="0" w:color="000000"/>
            </w:tcBorders>
            <w:shd w:val="clear" w:color="auto" w:fill="auto"/>
            <w:noWrap/>
            <w:vAlign w:val="center"/>
            <w:hideMark/>
          </w:tcPr>
          <w:p w:rsidR="005D5D3B" w:rsidRPr="005D5D3B" w:rsidRDefault="005D5D3B" w:rsidP="005D5D3B">
            <w:pPr>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Total Funds Mobilised (I+II)</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66,694</w:t>
            </w:r>
          </w:p>
        </w:tc>
        <w:tc>
          <w:tcPr>
            <w:tcW w:w="1160" w:type="dxa"/>
            <w:tcBorders>
              <w:top w:val="nil"/>
              <w:left w:val="nil"/>
              <w:bottom w:val="single" w:sz="4" w:space="0" w:color="000000"/>
              <w:right w:val="single" w:sz="4" w:space="0" w:color="000000"/>
            </w:tcBorders>
            <w:shd w:val="clear" w:color="auto" w:fill="auto"/>
            <w:noWrap/>
            <w:vAlign w:val="center"/>
            <w:hideMark/>
          </w:tcPr>
          <w:p w:rsidR="005D5D3B" w:rsidRPr="005D5D3B" w:rsidRDefault="005D5D3B" w:rsidP="005D5D3B">
            <w:pPr>
              <w:jc w:val="right"/>
              <w:rPr>
                <w:rFonts w:ascii="Garamond" w:eastAsia="Times New Roman" w:hAnsi="Garamond"/>
                <w:b/>
                <w:bCs/>
                <w:color w:val="000000"/>
                <w:sz w:val="22"/>
                <w:szCs w:val="22"/>
                <w:lang w:val="en-IN" w:eastAsia="en-IN" w:bidi="hi-IN"/>
              </w:rPr>
            </w:pPr>
            <w:r w:rsidRPr="005D5D3B">
              <w:rPr>
                <w:rFonts w:ascii="Garamond" w:eastAsia="Times New Roman" w:hAnsi="Garamond"/>
                <w:b/>
                <w:bCs/>
                <w:color w:val="000000"/>
                <w:sz w:val="22"/>
                <w:szCs w:val="22"/>
                <w:lang w:val="en-IN" w:eastAsia="en-IN" w:bidi="hi-IN"/>
              </w:rPr>
              <w:t>52,771</w:t>
            </w:r>
          </w:p>
        </w:tc>
      </w:tr>
    </w:tbl>
    <w:p w:rsidR="00DB7D3F" w:rsidRPr="00DB7D3F" w:rsidRDefault="00DB7D3F" w:rsidP="00DB7D3F">
      <w:pPr>
        <w:widowControl w:val="0"/>
        <w:tabs>
          <w:tab w:val="right" w:pos="9888"/>
        </w:tabs>
        <w:spacing w:line="276" w:lineRule="auto"/>
        <w:jc w:val="both"/>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SEBI, NSE, BSE and MSEI</w:t>
      </w:r>
    </w:p>
    <w:p w:rsidR="00DB7D3F" w:rsidRPr="00DB7D3F" w:rsidRDefault="00DB7D3F" w:rsidP="00DB7D3F">
      <w:pPr>
        <w:widowControl w:val="0"/>
        <w:tabs>
          <w:tab w:val="right" w:pos="9888"/>
        </w:tabs>
        <w:spacing w:line="276" w:lineRule="auto"/>
        <w:jc w:val="both"/>
        <w:rPr>
          <w:rFonts w:ascii="Palatino Linotype" w:eastAsia="Palatino Linotype" w:hAnsi="Palatino Linotype" w:cs="Palatino Linotype"/>
          <w:b/>
          <w:sz w:val="22"/>
          <w:szCs w:val="22"/>
          <w:highlight w:val="yellow"/>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there were five main board IPO issues mobilising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 xml:space="preserve">13,184 crore and three SME IPO issues mobilising </w:t>
      </w:r>
      <w:r w:rsidRPr="00DB7D3F">
        <w:rPr>
          <w:rFonts w:ascii="Times New Roman" w:eastAsia="Palatino Linotype" w:hAnsi="Times New Roman"/>
          <w:sz w:val="22"/>
          <w:szCs w:val="22"/>
        </w:rPr>
        <w:t>₹</w:t>
      </w:r>
      <w:r w:rsidRPr="00DB7D3F">
        <w:rPr>
          <w:rFonts w:ascii="Garamond" w:hAnsi="Garamond"/>
          <w:color w:val="000000"/>
          <w:sz w:val="22"/>
          <w:szCs w:val="22"/>
        </w:rPr>
        <w:t xml:space="preserve">14.3 </w:t>
      </w:r>
      <w:r w:rsidRPr="00DB7D3F">
        <w:rPr>
          <w:rFonts w:ascii="Palatino Linotype" w:eastAsia="Palatino Linotype" w:hAnsi="Palatino Linotype" w:cs="Palatino Linotype"/>
          <w:sz w:val="22"/>
          <w:szCs w:val="22"/>
        </w:rPr>
        <w:t xml:space="preserve">crore, compared to four main board IPO issues mobilising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 xml:space="preserve">9,122 crore and four SME IPO issues mobilising </w:t>
      </w:r>
      <w:r w:rsidRPr="00DB7D3F">
        <w:rPr>
          <w:rFonts w:ascii="Tahoma" w:eastAsia="Palatino Linotype" w:hAnsi="Tahoma" w:cs="Tahoma"/>
          <w:sz w:val="22"/>
          <w:szCs w:val="22"/>
        </w:rPr>
        <w:t>₹</w:t>
      </w:r>
      <w:r w:rsidRPr="00DB7D3F">
        <w:rPr>
          <w:rFonts w:ascii="Garamond" w:hAnsi="Garamond"/>
          <w:color w:val="000000"/>
          <w:sz w:val="22"/>
          <w:szCs w:val="22"/>
        </w:rPr>
        <w:t xml:space="preserve">23.4 </w:t>
      </w:r>
      <w:r w:rsidRPr="00DB7D3F">
        <w:rPr>
          <w:rFonts w:ascii="Palatino Linotype" w:eastAsia="Palatino Linotype" w:hAnsi="Palatino Linotype" w:cs="Palatino Linotype"/>
          <w:sz w:val="22"/>
          <w:szCs w:val="22"/>
        </w:rPr>
        <w:t xml:space="preserve">crore respectively in June 2021.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there were two rights issues mobilizing </w:t>
      </w:r>
      <w:r w:rsidRPr="00DB7D3F">
        <w:rPr>
          <w:rFonts w:ascii="Arial" w:eastAsia="Palatino Linotype" w:hAnsi="Arial" w:cs="Arial"/>
          <w:b/>
          <w:sz w:val="20"/>
          <w:szCs w:val="22"/>
        </w:rPr>
        <w:t>₹</w:t>
      </w:r>
      <w:r w:rsidRPr="00DB7D3F">
        <w:rPr>
          <w:rFonts w:ascii="Palatino Linotype" w:eastAsia="Palatino Linotype" w:hAnsi="Palatino Linotype" w:cs="Palatino Linotype"/>
          <w:sz w:val="22"/>
          <w:szCs w:val="22"/>
        </w:rPr>
        <w:t xml:space="preserve">54.1 crore compared to two rights issues mobilizing </w:t>
      </w:r>
      <w:r w:rsidRPr="00DB7D3F">
        <w:rPr>
          <w:rFonts w:ascii="Tahoma" w:eastAsia="Palatino Linotype" w:hAnsi="Tahoma" w:cs="Tahoma"/>
          <w:b/>
          <w:sz w:val="20"/>
          <w:szCs w:val="22"/>
        </w:rPr>
        <w:t>₹</w:t>
      </w:r>
      <w:r w:rsidRPr="00DB7D3F">
        <w:rPr>
          <w:rFonts w:ascii="Palatino Linotype" w:eastAsia="Palatino Linotype" w:hAnsi="Palatino Linotype" w:cs="Palatino Linotype"/>
          <w:sz w:val="22"/>
          <w:szCs w:val="22"/>
        </w:rPr>
        <w:t>404 crore in June 2021.</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there were three public issues of corporate bonds amounting to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 xml:space="preserve">1,153 crore compared, no public issues of corporate bonds during June 2021.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An amount of </w:t>
      </w:r>
      <w:r w:rsidRPr="00DB7D3F">
        <w:rPr>
          <w:rFonts w:ascii="Times New Roman" w:eastAsia="Palatino Linotype" w:hAnsi="Times New Roman"/>
          <w:sz w:val="22"/>
          <w:szCs w:val="22"/>
        </w:rPr>
        <w:t>₹</w:t>
      </w:r>
      <w:r w:rsidRPr="00E877E5">
        <w:rPr>
          <w:rFonts w:ascii="Palatino Linotype" w:eastAsia="Palatino Linotype" w:hAnsi="Palatino Linotype" w:cs="Palatino Linotype"/>
          <w:sz w:val="22"/>
          <w:szCs w:val="22"/>
        </w:rPr>
        <w:t>8,285</w:t>
      </w:r>
      <w:r w:rsidRPr="00DB7D3F">
        <w:rPr>
          <w:rFonts w:ascii="Palatino Linotype" w:eastAsia="Palatino Linotype" w:hAnsi="Palatino Linotype" w:cs="Palatino Linotype"/>
          <w:sz w:val="22"/>
          <w:szCs w:val="22"/>
        </w:rPr>
        <w:t xml:space="preserve"> crore were raised through private placement of equity (i.e., preferential allotment and QIPs) during July 2021, against </w:t>
      </w:r>
      <w:r w:rsidRPr="00E877E5">
        <w:rPr>
          <w:rFonts w:ascii="Tahoma" w:eastAsia="Palatino Linotype" w:hAnsi="Tahoma" w:cs="Tahoma"/>
          <w:sz w:val="22"/>
          <w:szCs w:val="22"/>
        </w:rPr>
        <w:t>₹</w:t>
      </w:r>
      <w:r w:rsidRPr="00E877E5">
        <w:rPr>
          <w:rFonts w:ascii="Times New Roman" w:eastAsia="Palatino Linotype" w:hAnsi="Times New Roman"/>
          <w:sz w:val="22"/>
          <w:szCs w:val="22"/>
        </w:rPr>
        <w:t>15</w:t>
      </w:r>
      <w:r w:rsidRPr="00E877E5">
        <w:rPr>
          <w:rFonts w:ascii="Palatino Linotype" w:eastAsia="Palatino Linotype" w:hAnsi="Palatino Linotype" w:cs="Palatino Linotype"/>
          <w:sz w:val="22"/>
          <w:szCs w:val="22"/>
        </w:rPr>
        <w:t>,</w:t>
      </w:r>
      <w:r w:rsidR="00E877E5" w:rsidRPr="00E877E5">
        <w:rPr>
          <w:rFonts w:ascii="Palatino Linotype" w:eastAsia="Palatino Linotype" w:hAnsi="Palatino Linotype" w:cs="Palatino Linotype"/>
          <w:sz w:val="22"/>
          <w:szCs w:val="22"/>
        </w:rPr>
        <w:t xml:space="preserve">093 </w:t>
      </w:r>
      <w:r w:rsidRPr="00DB7D3F">
        <w:rPr>
          <w:rFonts w:ascii="Palatino Linotype" w:eastAsia="Palatino Linotype" w:hAnsi="Palatino Linotype" w:cs="Palatino Linotype"/>
          <w:sz w:val="22"/>
          <w:szCs w:val="22"/>
        </w:rPr>
        <w:t xml:space="preserve">crore were raised during June 2021. </w:t>
      </w:r>
    </w:p>
    <w:p w:rsidR="00DB7D3F" w:rsidRPr="005D5D3B"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5D5D3B">
        <w:rPr>
          <w:rFonts w:ascii="Palatino Linotype" w:eastAsia="Palatino Linotype" w:hAnsi="Palatino Linotype" w:cs="Palatino Linotype"/>
          <w:sz w:val="22"/>
          <w:szCs w:val="22"/>
        </w:rPr>
        <w:t xml:space="preserve">Private placement of corporate debt reported on exchanges stood at </w:t>
      </w:r>
      <w:r w:rsidRPr="005D5D3B">
        <w:rPr>
          <w:rFonts w:ascii="Times New Roman" w:eastAsia="Palatino Linotype" w:hAnsi="Times New Roman"/>
          <w:sz w:val="22"/>
          <w:szCs w:val="22"/>
        </w:rPr>
        <w:t>₹</w:t>
      </w:r>
      <w:r w:rsidRPr="005D5D3B">
        <w:rPr>
          <w:rFonts w:ascii="Palatino Linotype" w:eastAsia="Palatino Linotype" w:hAnsi="Palatino Linotype" w:cs="Palatino Linotype"/>
          <w:sz w:val="22"/>
          <w:szCs w:val="22"/>
        </w:rPr>
        <w:t xml:space="preserve">30,081 crore during July 2021, compared to </w:t>
      </w:r>
      <w:r w:rsidRPr="005D5D3B">
        <w:rPr>
          <w:rFonts w:ascii="Tahoma" w:eastAsia="Palatino Linotype" w:hAnsi="Tahoma" w:cs="Tahoma"/>
          <w:sz w:val="22"/>
          <w:szCs w:val="22"/>
        </w:rPr>
        <w:t>₹</w:t>
      </w:r>
      <w:r w:rsidR="005D5D3B" w:rsidRPr="005D5D3B">
        <w:rPr>
          <w:rFonts w:ascii="Palatino Linotype" w:eastAsia="Palatino Linotype" w:hAnsi="Palatino Linotype" w:cs="Palatino Linotype"/>
          <w:sz w:val="22"/>
          <w:szCs w:val="22"/>
        </w:rPr>
        <w:t>42,051</w:t>
      </w:r>
      <w:r w:rsidRPr="005D5D3B">
        <w:rPr>
          <w:rFonts w:ascii="Palatino Linotype" w:eastAsia="Palatino Linotype" w:hAnsi="Palatino Linotype" w:cs="Palatino Linotype"/>
          <w:sz w:val="22"/>
          <w:szCs w:val="22"/>
        </w:rPr>
        <w:t xml:space="preserve"> crore during June 2021, a decrease of </w:t>
      </w:r>
      <w:r w:rsidR="005D5D3B" w:rsidRPr="005D5D3B">
        <w:rPr>
          <w:rFonts w:ascii="Palatino Linotype" w:eastAsia="Palatino Linotype" w:hAnsi="Palatino Linotype" w:cs="Palatino Linotype"/>
          <w:sz w:val="22"/>
          <w:szCs w:val="22"/>
        </w:rPr>
        <w:t>28</w:t>
      </w:r>
      <w:r w:rsidRPr="005D5D3B">
        <w:rPr>
          <w:rFonts w:ascii="Palatino Linotype" w:eastAsia="Palatino Linotype" w:hAnsi="Palatino Linotype" w:cs="Palatino Linotype"/>
          <w:sz w:val="22"/>
          <w:szCs w:val="22"/>
        </w:rPr>
        <w:t xml:space="preserve">.5 per cent over previous month. </w:t>
      </w:r>
    </w:p>
    <w:p w:rsidR="00DB7D3F" w:rsidRPr="00DB7D3F" w:rsidRDefault="00DB7D3F" w:rsidP="00DB7D3F">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DB7D3F" w:rsidRPr="00DB7D3F" w:rsidRDefault="00DB7D3F" w:rsidP="00DB7D3F">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Trends in the Secondary Market</w:t>
      </w:r>
    </w:p>
    <w:p w:rsidR="00DB7D3F" w:rsidRPr="00DB7D3F" w:rsidRDefault="00DB7D3F" w:rsidP="00DB7D3F">
      <w:pPr>
        <w:widowControl w:val="0"/>
        <w:tabs>
          <w:tab w:val="left" w:pos="3915"/>
        </w:tabs>
        <w:spacing w:line="276" w:lineRule="auto"/>
        <w:jc w:val="both"/>
        <w:rPr>
          <w:rFonts w:ascii="Palatino Linotype" w:eastAsia="Palatino Linotype" w:hAnsi="Palatino Linotype" w:cs="Palatino Linotype"/>
          <w:b/>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At the end of July 2021, Nifty 50 closed at 15,763 registering an increase of 0.3 per cent as compared to the closing value of 15,722 at the end of June 2021.</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S&amp;P BSE Sensex closed at 52,587 at the end of July 2021, indicating an increase of 0.2 per cent as compared to the closing value of 52,483 at the end of June 2021.</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Nifty 50 and S&amp;P BSE Sensex reached their intraday high for the month at 15,962 and 53,291 respectively, on July 16, 2021 and their intraday low for the month at 15,513 and 51,803 respectively, on July 28, 2021.</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lastRenderedPageBreak/>
        <w:t xml:space="preserve">The P/E ratios of S&amp;P BSE Sensex and Nifty 50 were </w:t>
      </w:r>
      <w:r w:rsidRPr="00DB7D3F">
        <w:rPr>
          <w:rFonts w:ascii="Palatino Linotype" w:eastAsia="Palatino Linotype" w:hAnsi="Palatino Linotype" w:cs="Palatino Linotype"/>
          <w:color w:val="000000" w:themeColor="text1"/>
          <w:sz w:val="22"/>
          <w:szCs w:val="22"/>
        </w:rPr>
        <w:t xml:space="preserve">30.7 and 27.0, </w:t>
      </w:r>
      <w:r w:rsidRPr="00DB7D3F">
        <w:rPr>
          <w:rFonts w:ascii="Palatino Linotype" w:eastAsia="Palatino Linotype" w:hAnsi="Palatino Linotype" w:cs="Palatino Linotype"/>
          <w:sz w:val="22"/>
          <w:szCs w:val="22"/>
        </w:rPr>
        <w:t xml:space="preserve">respectively, at the end of July 2021 compared to </w:t>
      </w:r>
      <w:r w:rsidRPr="00DB7D3F">
        <w:rPr>
          <w:rFonts w:ascii="Palatino Linotype" w:eastAsia="Palatino Linotype" w:hAnsi="Palatino Linotype" w:cs="Palatino Linotype"/>
          <w:color w:val="000000" w:themeColor="text1"/>
          <w:sz w:val="22"/>
          <w:szCs w:val="22"/>
        </w:rPr>
        <w:t>32.0 and 28.3</w:t>
      </w:r>
      <w:r w:rsidRPr="00DB7D3F">
        <w:rPr>
          <w:rFonts w:ascii="Palatino Linotype" w:eastAsia="Palatino Linotype" w:hAnsi="Palatino Linotype" w:cs="Palatino Linotype"/>
          <w:sz w:val="22"/>
          <w:szCs w:val="22"/>
        </w:rPr>
        <w:t>, respectively, at the end of June 2021.</w:t>
      </w: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p>
    <w:p w:rsidR="00DB7D3F" w:rsidRPr="00DB7D3F" w:rsidRDefault="00DB7D3F" w:rsidP="00DB7D3F">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Table 2: Snapshot of Indian Capital Market </w:t>
      </w:r>
    </w:p>
    <w:tbl>
      <w:tblPr>
        <w:tblW w:w="8523" w:type="dxa"/>
        <w:tblLook w:val="04A0" w:firstRow="1" w:lastRow="0" w:firstColumn="1" w:lastColumn="0" w:noHBand="0" w:noVBand="1"/>
      </w:tblPr>
      <w:tblGrid>
        <w:gridCol w:w="3101"/>
        <w:gridCol w:w="1752"/>
        <w:gridCol w:w="1753"/>
        <w:gridCol w:w="1917"/>
      </w:tblGrid>
      <w:tr w:rsidR="00DB7D3F" w:rsidRPr="00DB7D3F" w:rsidTr="00E26457">
        <w:trPr>
          <w:trHeight w:val="663"/>
        </w:trPr>
        <w:tc>
          <w:tcPr>
            <w:tcW w:w="3101"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Description</w:t>
            </w:r>
          </w:p>
        </w:tc>
        <w:tc>
          <w:tcPr>
            <w:tcW w:w="1752" w:type="dxa"/>
            <w:tcBorders>
              <w:top w:val="single" w:sz="4" w:space="0" w:color="000000"/>
              <w:left w:val="nil"/>
              <w:bottom w:val="single" w:sz="4" w:space="0" w:color="000000"/>
              <w:right w:val="single" w:sz="4" w:space="0" w:color="000000"/>
            </w:tcBorders>
            <w:shd w:val="clear" w:color="92CDDC" w:fill="92CDDC"/>
            <w:noWrap/>
            <w:vAlign w:val="center"/>
            <w:hideMark/>
          </w:tcPr>
          <w:p w:rsidR="00DB7D3F" w:rsidRPr="00DB7D3F" w:rsidRDefault="00DB7D3F" w:rsidP="00DB7D3F">
            <w:pPr>
              <w:jc w:val="cente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Jun-21</w:t>
            </w:r>
          </w:p>
        </w:tc>
        <w:tc>
          <w:tcPr>
            <w:tcW w:w="1752" w:type="dxa"/>
            <w:tcBorders>
              <w:top w:val="single" w:sz="4" w:space="0" w:color="000000"/>
              <w:left w:val="nil"/>
              <w:bottom w:val="single" w:sz="4" w:space="0" w:color="000000"/>
              <w:right w:val="single" w:sz="4" w:space="0" w:color="000000"/>
            </w:tcBorders>
            <w:shd w:val="clear" w:color="92CDDC" w:fill="92CDDC"/>
            <w:noWrap/>
            <w:vAlign w:val="center"/>
            <w:hideMark/>
          </w:tcPr>
          <w:p w:rsidR="00DB7D3F" w:rsidRPr="00DB7D3F" w:rsidRDefault="00DB7D3F" w:rsidP="00DB7D3F">
            <w:pPr>
              <w:jc w:val="cente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Jul-21</w:t>
            </w:r>
          </w:p>
        </w:tc>
        <w:tc>
          <w:tcPr>
            <w:tcW w:w="1917" w:type="dxa"/>
            <w:tcBorders>
              <w:top w:val="single" w:sz="4" w:space="0" w:color="000000"/>
              <w:left w:val="nil"/>
              <w:bottom w:val="single" w:sz="4" w:space="0" w:color="000000"/>
              <w:right w:val="single" w:sz="4" w:space="0" w:color="000000"/>
            </w:tcBorders>
            <w:shd w:val="clear" w:color="92CDDC" w:fill="92CDDC"/>
            <w:vAlign w:val="center"/>
            <w:hideMark/>
          </w:tcPr>
          <w:p w:rsidR="00DB7D3F" w:rsidRPr="00DB7D3F" w:rsidRDefault="00DB7D3F" w:rsidP="00DB7D3F">
            <w:pPr>
              <w:jc w:val="cente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Change during the Month</w:t>
            </w:r>
          </w:p>
        </w:tc>
      </w:tr>
      <w:tr w:rsidR="00DB7D3F" w:rsidRPr="00DB7D3F" w:rsidTr="00E26457">
        <w:trPr>
          <w:trHeight w:val="267"/>
        </w:trPr>
        <w:tc>
          <w:tcPr>
            <w:tcW w:w="3101" w:type="dxa"/>
            <w:tcBorders>
              <w:top w:val="nil"/>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Index in Equity Market</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Nifty 50</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15,722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15,763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0.3</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Sensex</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52,483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52,587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0.2</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Nifty Midcap 50</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7,475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7,658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2.5</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Nifty Smallcap 100</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9,734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10,522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8.1</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BSE Midcap</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22,536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23,087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2.4</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BSE Smallcap</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25,232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26,787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6.2</w:t>
            </w:r>
          </w:p>
        </w:tc>
      </w:tr>
      <w:tr w:rsidR="00DB7D3F" w:rsidRPr="00DB7D3F" w:rsidTr="00E26457">
        <w:trPr>
          <w:trHeight w:val="267"/>
        </w:trPr>
        <w:tc>
          <w:tcPr>
            <w:tcW w:w="4853"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Market Capitalisation (</w:t>
            </w:r>
            <w:r w:rsidRPr="00DB7D3F">
              <w:rPr>
                <w:rFonts w:ascii="Tahoma" w:eastAsia="Times New Roman" w:hAnsi="Tahoma" w:cs="Tahoma"/>
                <w:b/>
                <w:bCs/>
                <w:sz w:val="20"/>
                <w:szCs w:val="20"/>
                <w:lang w:val="en-IN" w:eastAsia="en-IN" w:bidi="hi-IN"/>
              </w:rPr>
              <w:t>₹</w:t>
            </w:r>
            <w:r w:rsidRPr="00DB7D3F">
              <w:rPr>
                <w:rFonts w:ascii="Palatino Linotype" w:eastAsia="Times New Roman" w:hAnsi="Palatino Linotype"/>
                <w:b/>
                <w:bCs/>
                <w:sz w:val="20"/>
                <w:szCs w:val="20"/>
                <w:lang w:val="en-IN" w:eastAsia="en-IN" w:bidi="hi-IN"/>
              </w:rPr>
              <w:t xml:space="preserve"> crore)</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2,29,77,769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2,35,49,749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2.5</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2,28,14,761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2,33,55,719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2.4</w:t>
            </w:r>
          </w:p>
        </w:tc>
      </w:tr>
      <w:tr w:rsidR="00DB7D3F" w:rsidRPr="00DB7D3F" w:rsidTr="00E26457">
        <w:trPr>
          <w:trHeight w:val="267"/>
        </w:trPr>
        <w:tc>
          <w:tcPr>
            <w:tcW w:w="3101" w:type="dxa"/>
            <w:tcBorders>
              <w:top w:val="nil"/>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P/E Ratio</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Sensex</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32.0</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30.7</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-4.0</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Nifty 50</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28.3</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27.0</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-4.7</w:t>
            </w:r>
          </w:p>
        </w:tc>
      </w:tr>
      <w:tr w:rsidR="00DB7D3F" w:rsidRPr="00DB7D3F" w:rsidTr="00E26457">
        <w:trPr>
          <w:trHeight w:val="267"/>
        </w:trPr>
        <w:tc>
          <w:tcPr>
            <w:tcW w:w="3101" w:type="dxa"/>
            <w:tcBorders>
              <w:top w:val="nil"/>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No of Listed Companies</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5,494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5,507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0.2</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1,981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1,988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0.4</w:t>
            </w:r>
          </w:p>
        </w:tc>
      </w:tr>
      <w:tr w:rsidR="00DB7D3F" w:rsidRPr="00DB7D3F" w:rsidTr="00E26457">
        <w:trPr>
          <w:trHeight w:val="267"/>
        </w:trPr>
        <w:tc>
          <w:tcPr>
            <w:tcW w:w="4853"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Gross Turnover in Equity Segment (</w:t>
            </w:r>
            <w:r w:rsidRPr="00DB7D3F">
              <w:rPr>
                <w:rFonts w:ascii="Tahoma" w:eastAsia="Times New Roman" w:hAnsi="Tahoma" w:cs="Tahoma"/>
                <w:b/>
                <w:bCs/>
                <w:sz w:val="20"/>
                <w:szCs w:val="20"/>
                <w:lang w:val="en-IN" w:eastAsia="en-IN" w:bidi="hi-IN"/>
              </w:rPr>
              <w:t>₹</w:t>
            </w:r>
            <w:r w:rsidRPr="00DB7D3F">
              <w:rPr>
                <w:rFonts w:ascii="Palatino Linotype" w:eastAsia="Times New Roman" w:hAnsi="Palatino Linotype"/>
                <w:b/>
                <w:bCs/>
                <w:sz w:val="20"/>
                <w:szCs w:val="20"/>
                <w:lang w:val="en-IN" w:eastAsia="en-IN" w:bidi="hi-IN"/>
              </w:rPr>
              <w:t xml:space="preserve"> crore)</w:t>
            </w:r>
          </w:p>
        </w:tc>
        <w:tc>
          <w:tcPr>
            <w:tcW w:w="1752" w:type="dxa"/>
            <w:tcBorders>
              <w:top w:val="nil"/>
              <w:left w:val="nil"/>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1,49,946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1,16,035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-22.6</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15,54,694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13,15,716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-15.4</w:t>
            </w:r>
          </w:p>
        </w:tc>
      </w:tr>
      <w:tr w:rsidR="00DB7D3F" w:rsidRPr="00DB7D3F" w:rsidTr="00E26457">
        <w:trPr>
          <w:trHeight w:val="267"/>
        </w:trPr>
        <w:tc>
          <w:tcPr>
            <w:tcW w:w="6606"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Gross Turnover in Equity Derivatives Segment (</w:t>
            </w:r>
            <w:r w:rsidRPr="00DB7D3F">
              <w:rPr>
                <w:rFonts w:ascii="Tahoma" w:eastAsia="Times New Roman" w:hAnsi="Tahoma" w:cs="Tahoma"/>
                <w:b/>
                <w:bCs/>
                <w:sz w:val="20"/>
                <w:szCs w:val="20"/>
                <w:lang w:val="en-IN" w:eastAsia="en-IN" w:bidi="hi-IN"/>
              </w:rPr>
              <w:t>₹</w:t>
            </w:r>
            <w:r w:rsidRPr="00DB7D3F">
              <w:rPr>
                <w:rFonts w:ascii="Palatino Linotype" w:eastAsia="Times New Roman" w:hAnsi="Palatino Linotype"/>
                <w:b/>
                <w:bCs/>
                <w:sz w:val="20"/>
                <w:szCs w:val="20"/>
                <w:lang w:val="en-IN" w:eastAsia="en-IN" w:bidi="hi-IN"/>
              </w:rPr>
              <w:t xml:space="preserve"> crore)</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66,71,387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63,59,836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-4.7</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10,13,91,908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11,31,23,233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11.6</w:t>
            </w:r>
          </w:p>
        </w:tc>
      </w:tr>
      <w:tr w:rsidR="00DB7D3F" w:rsidRPr="00DB7D3F" w:rsidTr="00E26457">
        <w:trPr>
          <w:trHeight w:val="267"/>
        </w:trPr>
        <w:tc>
          <w:tcPr>
            <w:tcW w:w="6606"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Gross Turnover in Currency Derivatives Segment (</w:t>
            </w:r>
            <w:r w:rsidRPr="00DB7D3F">
              <w:rPr>
                <w:rFonts w:ascii="Tahoma" w:eastAsia="Times New Roman" w:hAnsi="Tahoma" w:cs="Tahoma"/>
                <w:b/>
                <w:bCs/>
                <w:sz w:val="20"/>
                <w:szCs w:val="20"/>
                <w:lang w:val="en-IN" w:eastAsia="en-IN" w:bidi="hi-IN"/>
              </w:rPr>
              <w:t>₹</w:t>
            </w:r>
            <w:r w:rsidRPr="00DB7D3F">
              <w:rPr>
                <w:rFonts w:ascii="Palatino Linotype" w:eastAsia="Times New Roman" w:hAnsi="Palatino Linotype"/>
                <w:b/>
                <w:bCs/>
                <w:sz w:val="20"/>
                <w:szCs w:val="20"/>
                <w:lang w:val="en-IN" w:eastAsia="en-IN" w:bidi="hi-IN"/>
              </w:rPr>
              <w:t xml:space="preserve"> crore)</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5,03,266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5,00,964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-0.5</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13,78,694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13,86,769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0.6</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MSEI</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14,465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6,391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-55.8</w:t>
            </w:r>
          </w:p>
        </w:tc>
      </w:tr>
      <w:tr w:rsidR="00DB7D3F" w:rsidRPr="00DB7D3F" w:rsidTr="00E26457">
        <w:trPr>
          <w:trHeight w:val="267"/>
        </w:trPr>
        <w:tc>
          <w:tcPr>
            <w:tcW w:w="6606"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Gross Turnover in Interest Rate Derivatives Segment (</w:t>
            </w:r>
            <w:r w:rsidRPr="00DB7D3F">
              <w:rPr>
                <w:rFonts w:ascii="Tahoma" w:eastAsia="Times New Roman" w:hAnsi="Tahoma" w:cs="Tahoma"/>
                <w:b/>
                <w:bCs/>
                <w:sz w:val="20"/>
                <w:szCs w:val="20"/>
                <w:lang w:val="en-IN" w:eastAsia="en-IN" w:bidi="hi-IN"/>
              </w:rPr>
              <w:t>₹</w:t>
            </w:r>
            <w:r w:rsidRPr="00DB7D3F">
              <w:rPr>
                <w:rFonts w:ascii="Palatino Linotype" w:eastAsia="Times New Roman" w:hAnsi="Palatino Linotype"/>
                <w:b/>
                <w:bCs/>
                <w:sz w:val="20"/>
                <w:szCs w:val="20"/>
                <w:lang w:val="en-IN" w:eastAsia="en-IN" w:bidi="hi-IN"/>
              </w:rPr>
              <w:t xml:space="preserve"> crore)</w:t>
            </w:r>
          </w:p>
        </w:tc>
        <w:tc>
          <w:tcPr>
            <w:tcW w:w="1917" w:type="dxa"/>
            <w:tcBorders>
              <w:top w:val="nil"/>
              <w:left w:val="nil"/>
              <w:bottom w:val="single" w:sz="4" w:space="0" w:color="000000"/>
              <w:right w:val="single" w:sz="4" w:space="0" w:color="000000"/>
            </w:tcBorders>
            <w:shd w:val="clear" w:color="C6E0B4" w:fill="C6E0B4"/>
            <w:noWrap/>
            <w:vAlign w:val="center"/>
            <w:hideMark/>
          </w:tcPr>
          <w:p w:rsidR="00DB7D3F" w:rsidRPr="00DB7D3F" w:rsidRDefault="00DB7D3F" w:rsidP="00DB7D3F">
            <w:pPr>
              <w:rPr>
                <w:rFonts w:ascii="Palatino Linotype" w:eastAsia="Times New Roman" w:hAnsi="Palatino Linotype"/>
                <w:b/>
                <w:bCs/>
                <w:sz w:val="20"/>
                <w:szCs w:val="20"/>
                <w:lang w:val="en-IN" w:eastAsia="en-IN" w:bidi="hi-IN"/>
              </w:rPr>
            </w:pPr>
            <w:r w:rsidRPr="00DB7D3F">
              <w:rPr>
                <w:rFonts w:ascii="Palatino Linotype" w:eastAsia="Times New Roman" w:hAnsi="Palatino Linotype"/>
                <w:b/>
                <w:bCs/>
                <w:sz w:val="20"/>
                <w:szCs w:val="20"/>
                <w:lang w:val="en-IN" w:eastAsia="en-IN" w:bidi="hi-IN"/>
              </w:rPr>
              <w:t> </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BSE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3,124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2,289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jc w:val="right"/>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-26.7</w:t>
            </w:r>
          </w:p>
        </w:tc>
      </w:tr>
      <w:tr w:rsidR="00DB7D3F" w:rsidRPr="00DB7D3F" w:rsidTr="00E26457">
        <w:trPr>
          <w:trHeight w:val="267"/>
        </w:trPr>
        <w:tc>
          <w:tcPr>
            <w:tcW w:w="3101" w:type="dxa"/>
            <w:tcBorders>
              <w:top w:val="nil"/>
              <w:left w:val="single" w:sz="4" w:space="0" w:color="000000"/>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NSE</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B7D3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1,966 </w:t>
            </w:r>
          </w:p>
        </w:tc>
        <w:tc>
          <w:tcPr>
            <w:tcW w:w="1752" w:type="dxa"/>
            <w:tcBorders>
              <w:top w:val="nil"/>
              <w:left w:val="nil"/>
              <w:bottom w:val="single" w:sz="4" w:space="0" w:color="000000"/>
              <w:right w:val="single" w:sz="4" w:space="0" w:color="000000"/>
            </w:tcBorders>
            <w:shd w:val="clear" w:color="auto" w:fill="auto"/>
            <w:noWrap/>
            <w:vAlign w:val="bottom"/>
            <w:hideMark/>
          </w:tcPr>
          <w:p w:rsidR="00DB7D3F" w:rsidRPr="00DB7D3F" w:rsidRDefault="00DB7D3F" w:rsidP="00D0104F">
            <w:pPr>
              <w:rPr>
                <w:rFonts w:ascii="Palatino Linotype" w:eastAsia="Times New Roman" w:hAnsi="Palatino Linotype"/>
                <w:sz w:val="20"/>
                <w:szCs w:val="20"/>
                <w:lang w:val="en-IN" w:eastAsia="en-IN" w:bidi="hi-IN"/>
              </w:rPr>
            </w:pPr>
            <w:r w:rsidRPr="00DB7D3F">
              <w:rPr>
                <w:rFonts w:ascii="Palatino Linotype" w:eastAsia="Times New Roman" w:hAnsi="Palatino Linotype"/>
                <w:sz w:val="20"/>
                <w:szCs w:val="20"/>
                <w:lang w:val="en-IN" w:eastAsia="en-IN" w:bidi="hi-IN"/>
              </w:rPr>
              <w:t xml:space="preserve">                    </w:t>
            </w:r>
            <w:r w:rsidR="00D0104F">
              <w:rPr>
                <w:rFonts w:ascii="Palatino Linotype" w:eastAsia="Times New Roman" w:hAnsi="Palatino Linotype"/>
                <w:sz w:val="20"/>
                <w:szCs w:val="20"/>
                <w:lang w:val="en-IN" w:eastAsia="en-IN" w:bidi="hi-IN"/>
              </w:rPr>
              <w:t>2,141</w:t>
            </w:r>
            <w:r w:rsidRPr="00DB7D3F">
              <w:rPr>
                <w:rFonts w:ascii="Palatino Linotype" w:eastAsia="Times New Roman" w:hAnsi="Palatino Linotype"/>
                <w:sz w:val="20"/>
                <w:szCs w:val="20"/>
                <w:lang w:val="en-IN" w:eastAsia="en-IN" w:bidi="hi-IN"/>
              </w:rPr>
              <w:t xml:space="preserve"> </w:t>
            </w:r>
          </w:p>
        </w:tc>
        <w:tc>
          <w:tcPr>
            <w:tcW w:w="1917" w:type="dxa"/>
            <w:tcBorders>
              <w:top w:val="nil"/>
              <w:left w:val="nil"/>
              <w:bottom w:val="single" w:sz="4" w:space="0" w:color="000000"/>
              <w:right w:val="single" w:sz="4" w:space="0" w:color="000000"/>
            </w:tcBorders>
            <w:shd w:val="clear" w:color="auto" w:fill="auto"/>
            <w:noWrap/>
            <w:vAlign w:val="bottom"/>
            <w:hideMark/>
          </w:tcPr>
          <w:p w:rsidR="00DB7D3F" w:rsidRPr="00DB7D3F" w:rsidRDefault="00D0104F" w:rsidP="00DB7D3F">
            <w:pPr>
              <w:jc w:val="right"/>
              <w:rPr>
                <w:rFonts w:ascii="Palatino Linotype" w:eastAsia="Times New Roman" w:hAnsi="Palatino Linotype"/>
                <w:sz w:val="20"/>
                <w:szCs w:val="20"/>
                <w:lang w:val="en-IN" w:eastAsia="en-IN" w:bidi="hi-IN"/>
              </w:rPr>
            </w:pPr>
            <w:r>
              <w:rPr>
                <w:rFonts w:ascii="Palatino Linotype" w:eastAsia="Times New Roman" w:hAnsi="Palatino Linotype"/>
                <w:sz w:val="20"/>
                <w:szCs w:val="20"/>
                <w:lang w:val="en-IN" w:eastAsia="en-IN" w:bidi="hi-IN"/>
              </w:rPr>
              <w:t>8.9</w:t>
            </w:r>
          </w:p>
        </w:tc>
      </w:tr>
    </w:tbl>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Note: #NSE </w:t>
      </w:r>
      <w:r w:rsidR="00A213F3" w:rsidRPr="00DB7D3F">
        <w:rPr>
          <w:rFonts w:ascii="Palatino Linotype" w:eastAsia="Palatino Linotype" w:hAnsi="Palatino Linotype" w:cs="Palatino Linotype"/>
          <w:b/>
          <w:sz w:val="18"/>
          <w:szCs w:val="18"/>
        </w:rPr>
        <w:t>change</w:t>
      </w:r>
      <w:r w:rsidR="00A213F3">
        <w:rPr>
          <w:rFonts w:ascii="Palatino Linotype" w:eastAsia="Palatino Linotype" w:hAnsi="Palatino Linotype" w:cs="Palatino Linotype"/>
          <w:b/>
          <w:sz w:val="18"/>
          <w:szCs w:val="18"/>
        </w:rPr>
        <w:t>d</w:t>
      </w:r>
      <w:r w:rsidR="00A213F3" w:rsidRPr="00DB7D3F">
        <w:rPr>
          <w:rFonts w:ascii="Palatino Linotype" w:eastAsia="Palatino Linotype" w:hAnsi="Palatino Linotype" w:cs="Palatino Linotype"/>
          <w:b/>
          <w:sz w:val="18"/>
          <w:szCs w:val="18"/>
        </w:rPr>
        <w:t xml:space="preserve"> </w:t>
      </w:r>
      <w:r w:rsidRPr="00DB7D3F">
        <w:rPr>
          <w:rFonts w:ascii="Palatino Linotype" w:eastAsia="Palatino Linotype" w:hAnsi="Palatino Linotype" w:cs="Palatino Linotype"/>
          <w:b/>
          <w:sz w:val="18"/>
          <w:szCs w:val="18"/>
        </w:rPr>
        <w:t xml:space="preserve">the PE methodology by taking into </w:t>
      </w:r>
      <w:r w:rsidR="00A213F3">
        <w:rPr>
          <w:rFonts w:ascii="Palatino Linotype" w:eastAsia="Palatino Linotype" w:hAnsi="Palatino Linotype" w:cs="Palatino Linotype"/>
          <w:b/>
          <w:sz w:val="18"/>
          <w:szCs w:val="18"/>
        </w:rPr>
        <w:t xml:space="preserve"> account </w:t>
      </w:r>
      <w:r w:rsidRPr="00DB7D3F">
        <w:rPr>
          <w:rFonts w:ascii="Palatino Linotype" w:eastAsia="Palatino Linotype" w:hAnsi="Palatino Linotype" w:cs="Palatino Linotype"/>
          <w:b/>
          <w:sz w:val="18"/>
          <w:szCs w:val="18"/>
        </w:rPr>
        <w:t>consolidated earning w.e.f. March 31, 2021</w:t>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Source: BSE, NSE and MSEI</w:t>
      </w:r>
      <w:r w:rsidRPr="00DB7D3F">
        <w:rPr>
          <w:rFonts w:ascii="Palatino Linotype" w:eastAsia="Palatino Linotype" w:hAnsi="Palatino Linotype" w:cs="Palatino Linotype"/>
          <w:b/>
          <w:sz w:val="18"/>
          <w:szCs w:val="18"/>
        </w:rPr>
        <w:br w:type="page"/>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lastRenderedPageBreak/>
        <w:t>Figure 1: Movement of S&amp;P BSE Sensex and Nifty 50 during July 2021</w:t>
      </w:r>
    </w:p>
    <w:p w:rsidR="00DB7D3F" w:rsidRPr="00DB7D3F" w:rsidRDefault="00DB7D3F" w:rsidP="00DB7D3F">
      <w:pPr>
        <w:spacing w:line="276" w:lineRule="auto"/>
        <w:rPr>
          <w:rFonts w:ascii="Palatino Linotype" w:eastAsia="Palatino Linotype" w:hAnsi="Palatino Linotype" w:cs="Palatino Linotype"/>
          <w:bCs/>
          <w:sz w:val="22"/>
          <w:szCs w:val="22"/>
          <w:highlight w:val="yellow"/>
        </w:rPr>
      </w:pPr>
      <w:r w:rsidRPr="00DB7D3F">
        <w:rPr>
          <w:noProof/>
          <w:lang w:val="en-IN" w:eastAsia="en-IN" w:bidi="hi-IN"/>
        </w:rPr>
        <w:drawing>
          <wp:inline distT="0" distB="0" distL="0" distR="0" wp14:anchorId="723F0966" wp14:editId="775879CC">
            <wp:extent cx="5876926" cy="2628900"/>
            <wp:effectExtent l="0" t="0" r="9525" b="0"/>
            <wp:docPr id="4" name="Chart 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7D3F" w:rsidRPr="00DB7D3F" w:rsidRDefault="00DB7D3F" w:rsidP="00DB7D3F">
      <w:pPr>
        <w:spacing w:line="276" w:lineRule="auto"/>
        <w:rPr>
          <w:rFonts w:ascii="Palatino Linotype" w:eastAsia="Palatino Linotype" w:hAnsi="Palatino Linotype" w:cs="Palatino Linotype"/>
          <w:b/>
          <w:i/>
          <w:iCs/>
          <w:sz w:val="18"/>
          <w:szCs w:val="18"/>
        </w:rPr>
      </w:pPr>
      <w:r w:rsidRPr="00DB7D3F">
        <w:rPr>
          <w:rFonts w:ascii="Palatino Linotype" w:eastAsia="Palatino Linotype" w:hAnsi="Palatino Linotype" w:cs="Palatino Linotype"/>
          <w:b/>
          <w:i/>
          <w:iCs/>
          <w:sz w:val="18"/>
          <w:szCs w:val="18"/>
        </w:rPr>
        <w:t xml:space="preserve">Note: The closing values of Nifty 50 and Sensex have been rebased with respective closing values of last day of the previous month. </w:t>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and NSE</w:t>
      </w:r>
    </w:p>
    <w:p w:rsidR="00DB7D3F" w:rsidRPr="00DB7D3F" w:rsidRDefault="00DB7D3F" w:rsidP="00DB7D3F">
      <w:pPr>
        <w:spacing w:line="276" w:lineRule="auto"/>
        <w:rPr>
          <w:rFonts w:ascii="Palatino Linotype" w:eastAsia="Palatino Linotype" w:hAnsi="Palatino Linotype" w:cs="Palatino Linotype"/>
          <w:b/>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At the end of July 2021, the market capitalisation of both the BSE and NSE increased by 2.5 per cent and 2.4 per cent respectively over the level as at the end of previous month.  </w:t>
      </w: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DB7D3F">
        <w:rPr>
          <w:rFonts w:ascii="Palatino Linotype" w:eastAsia="Palatino Linotype" w:hAnsi="Palatino Linotype" w:cs="Palatino Linotype"/>
          <w:b/>
          <w:sz w:val="22"/>
          <w:szCs w:val="22"/>
        </w:rPr>
        <w:t xml:space="preserve">Figure 2: Trends in Average Daily Values of Nifty 50 and Average Daily Turnover of NSE Equity Cash Segment </w:t>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DB7D3F">
        <w:rPr>
          <w:noProof/>
          <w:lang w:val="en-IN" w:eastAsia="en-IN" w:bidi="hi-IN"/>
        </w:rPr>
        <w:drawing>
          <wp:inline distT="0" distB="0" distL="0" distR="0" wp14:anchorId="18458F1B" wp14:editId="3F8FCC5C">
            <wp:extent cx="4572000" cy="2743200"/>
            <wp:effectExtent l="0" t="0" r="0" b="0"/>
            <wp:docPr id="12" name="Chart 1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Note: ADV implies Average Daily Values and ADT implies Average Daily Turnover</w:t>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NSE  </w:t>
      </w:r>
      <w:r w:rsidRPr="00DB7D3F">
        <w:rPr>
          <w:rFonts w:ascii="Palatino Linotype" w:eastAsia="Palatino Linotype" w:hAnsi="Palatino Linotype" w:cs="Palatino Linotype"/>
          <w:b/>
          <w:sz w:val="18"/>
          <w:szCs w:val="18"/>
        </w:rPr>
        <w:br w:type="page"/>
      </w:r>
    </w:p>
    <w:p w:rsidR="00DB7D3F" w:rsidRPr="00DB7D3F" w:rsidRDefault="00DB7D3F" w:rsidP="00DB7D3F">
      <w:pPr>
        <w:pBdr>
          <w:top w:val="nil"/>
          <w:left w:val="nil"/>
          <w:bottom w:val="nil"/>
          <w:right w:val="nil"/>
          <w:between w:val="nil"/>
        </w:pBdr>
        <w:spacing w:line="276" w:lineRule="auto"/>
        <w:jc w:val="center"/>
        <w:rPr>
          <w:noProof/>
          <w:lang w:val="en-IN" w:eastAsia="en-IN" w:bidi="hi-IN"/>
        </w:rPr>
      </w:pPr>
      <w:r w:rsidRPr="00DB7D3F">
        <w:rPr>
          <w:rFonts w:ascii="Palatino Linotype" w:eastAsia="Palatino Linotype" w:hAnsi="Palatino Linotype" w:cs="Palatino Linotype"/>
          <w:b/>
          <w:sz w:val="22"/>
          <w:szCs w:val="22"/>
        </w:rPr>
        <w:lastRenderedPageBreak/>
        <w:t xml:space="preserve">Figure 3: Trends in Average Daily Values of Sensex and Average Daily Turnover of BSE Equity Cash Segment </w:t>
      </w:r>
    </w:p>
    <w:p w:rsidR="00DB7D3F" w:rsidRPr="00DB7D3F" w:rsidRDefault="00DB7D3F" w:rsidP="00DB7D3F">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DB7D3F">
        <w:rPr>
          <w:noProof/>
          <w:lang w:val="en-IN" w:eastAsia="en-IN" w:bidi="hi-IN"/>
        </w:rPr>
        <w:drawing>
          <wp:inline distT="0" distB="0" distL="0" distR="0" wp14:anchorId="0A9FBF31" wp14:editId="2D765F24">
            <wp:extent cx="4914900" cy="2524125"/>
            <wp:effectExtent l="0" t="0" r="0" b="9525"/>
            <wp:docPr id="13" name="Chart 1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Note: ADV implies Average Daily Values and ADT implies Average Daily Turnover</w:t>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w:t>
      </w:r>
    </w:p>
    <w:p w:rsidR="00DB7D3F" w:rsidRPr="00DB7D3F" w:rsidRDefault="00DB7D3F" w:rsidP="00DB7D3F">
      <w:pPr>
        <w:spacing w:line="276" w:lineRule="auto"/>
        <w:jc w:val="both"/>
        <w:rPr>
          <w:rFonts w:ascii="Palatino Linotype" w:eastAsia="Palatino Linotype" w:hAnsi="Palatino Linotype" w:cs="Palatino Linotype"/>
          <w:color w:val="2E74B5"/>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 gross turnover in the equity cash segments, decreased at BSE by 22.6 per cent while it declined by 15.4 percent at NSE, respectively over previous month. </w:t>
      </w: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During July 2021, the selected BSE sectoral indices, referred to in Figure 4, witnessed mixed trends.  Amongst these, S&amp;P BSE Realty increased by 16.1 per cent, followed by BSE Metal (12.6 per cent), S&amp;P BSE Consumer Goods (3.1 per cent), S&amp;P BSE Consumer Durables (2.3 per cent) and S&amp;P BSE Teck (1.9 per cent). S&amp;P BSE Auto declined by 5.4 per cent followed by S&amp;P Power (5.0 per cent), S&amp;P BSE Oil (4.5 per cent), S&amp;P BSE PSU (0.4 per cent) and S&amp;P BSE Bank (0.4 per cent).</w:t>
      </w:r>
    </w:p>
    <w:p w:rsidR="00DB7D3F" w:rsidRPr="00DB7D3F" w:rsidRDefault="00DB7D3F" w:rsidP="00DB7D3F">
      <w:pPr>
        <w:ind w:left="360"/>
        <w:rPr>
          <w:rFonts w:ascii="Palatino Linotype" w:eastAsia="Palatino Linotype" w:hAnsi="Palatino Linotype" w:cs="Palatino Linotype"/>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The average daily volatility and monthly returns for these select BSE indices for July 2021 are illustrated in Figure 4.</w:t>
      </w:r>
    </w:p>
    <w:p w:rsidR="00DB7D3F" w:rsidRPr="00DB7D3F" w:rsidRDefault="00DB7D3F" w:rsidP="00DB7D3F">
      <w:pPr>
        <w:spacing w:line="276" w:lineRule="auto"/>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Figure 4: Trends of BSE Sectoral Indices during July 2021 (per cent)</w:t>
      </w:r>
    </w:p>
    <w:p w:rsidR="00DB7D3F" w:rsidRDefault="00DB7D3F" w:rsidP="00DB7D3F">
      <w:pPr>
        <w:spacing w:line="276" w:lineRule="auto"/>
        <w:jc w:val="center"/>
        <w:rPr>
          <w:rFonts w:ascii="Palatino Linotype" w:eastAsia="Palatino Linotype" w:hAnsi="Palatino Linotype" w:cs="Palatino Linotype"/>
          <w:b/>
          <w:color w:val="2E74B5"/>
          <w:sz w:val="22"/>
          <w:szCs w:val="22"/>
          <w:highlight w:val="yellow"/>
        </w:rPr>
      </w:pPr>
    </w:p>
    <w:p w:rsidR="00D0104F" w:rsidRPr="00DB7D3F" w:rsidRDefault="00D0104F" w:rsidP="00DB7D3F">
      <w:pPr>
        <w:spacing w:line="276" w:lineRule="auto"/>
        <w:jc w:val="center"/>
        <w:rPr>
          <w:rFonts w:ascii="Palatino Linotype" w:eastAsia="Palatino Linotype" w:hAnsi="Palatino Linotype" w:cs="Palatino Linotype"/>
          <w:b/>
          <w:color w:val="2E74B5"/>
          <w:sz w:val="22"/>
          <w:szCs w:val="22"/>
          <w:highlight w:val="yellow"/>
        </w:rPr>
      </w:pPr>
      <w:r>
        <w:rPr>
          <w:noProof/>
          <w:lang w:val="en-IN" w:eastAsia="en-IN" w:bidi="hi-IN"/>
        </w:rPr>
        <w:drawing>
          <wp:inline distT="0" distB="0" distL="0" distR="0" wp14:anchorId="0B22843D" wp14:editId="686BDCC7">
            <wp:extent cx="4371975" cy="2324100"/>
            <wp:effectExtent l="0" t="0" r="9525" b="0"/>
            <wp:docPr id="1" name="Chart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w:t>
      </w:r>
      <w:r w:rsidRPr="00DB7D3F">
        <w:rPr>
          <w:rFonts w:ascii="Palatino Linotype" w:eastAsia="Palatino Linotype" w:hAnsi="Palatino Linotype" w:cs="Palatino Linotype"/>
          <w:b/>
          <w:sz w:val="18"/>
          <w:szCs w:val="18"/>
        </w:rPr>
        <w:tab/>
      </w:r>
      <w:r w:rsidRPr="00DB7D3F">
        <w:rPr>
          <w:rFonts w:ascii="Palatino Linotype" w:eastAsia="Palatino Linotype" w:hAnsi="Palatino Linotype" w:cs="Palatino Linotype"/>
          <w:b/>
          <w:sz w:val="18"/>
          <w:szCs w:val="18"/>
        </w:rPr>
        <w:tab/>
        <w:t>Source: BSE</w:t>
      </w:r>
    </w:p>
    <w:p w:rsidR="00DB7D3F" w:rsidRPr="00DB7D3F" w:rsidRDefault="00DB7D3F" w:rsidP="00DB7D3F">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lastRenderedPageBreak/>
        <w:t>Similarly, during July 2021, among the select sectoral indices of the NSE, Nifty Realty increased by 15.9 per cent, followed by Nifty IT (4.5 per cent), Nifty Infrastructure (2.1 per cent), Nifty Pharma (0.8 per cent) and Nifty Services (0.2 per cent). Nifty Energy declined by 4.5 per cent followed by Nifty PSU (3.1 per cent), Nifty PSE (0.7 per cent), Nifty Bank (0.5 per cent) and Nifty FMCG (0.1 per cent). The average daily volatility and monthly returns of these select NSE indices for July 2021 are illustrated in Figure 5.</w:t>
      </w:r>
    </w:p>
    <w:p w:rsidR="00DB7D3F" w:rsidRPr="00DB7D3F" w:rsidRDefault="00DB7D3F" w:rsidP="00DB7D3F">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DB7D3F" w:rsidRPr="00DB7D3F" w:rsidRDefault="00DB7D3F" w:rsidP="00DB7D3F">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Figure 5: </w:t>
      </w:r>
      <w:r w:rsidRPr="00D0104F">
        <w:rPr>
          <w:rFonts w:ascii="Palatino Linotype" w:eastAsia="Palatino Linotype" w:hAnsi="Palatino Linotype" w:cs="Palatino Linotype"/>
          <w:b/>
          <w:sz w:val="22"/>
          <w:szCs w:val="22"/>
        </w:rPr>
        <w:t>Trends of NSE Sectoral Indices during July 2021 (per cent)</w:t>
      </w:r>
    </w:p>
    <w:p w:rsidR="00DB7D3F" w:rsidRPr="00DB7D3F" w:rsidRDefault="00D0104F" w:rsidP="00DB7D3F">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Pr>
          <w:noProof/>
          <w:lang w:val="en-IN" w:eastAsia="en-IN" w:bidi="hi-IN"/>
        </w:rPr>
        <w:drawing>
          <wp:inline distT="0" distB="0" distL="0" distR="0" wp14:anchorId="0A9C16F6" wp14:editId="50881B17">
            <wp:extent cx="4572000" cy="2743200"/>
            <wp:effectExtent l="0" t="0" r="0" b="0"/>
            <wp:docPr id="3" name="Chart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w:t>
      </w:r>
      <w:r w:rsidRPr="00DB7D3F">
        <w:rPr>
          <w:rFonts w:ascii="Palatino Linotype" w:eastAsia="Palatino Linotype" w:hAnsi="Palatino Linotype" w:cs="Palatino Linotype"/>
          <w:b/>
          <w:sz w:val="18"/>
          <w:szCs w:val="18"/>
        </w:rPr>
        <w:tab/>
      </w:r>
      <w:r w:rsidRPr="00DB7D3F">
        <w:rPr>
          <w:rFonts w:ascii="Palatino Linotype" w:eastAsia="Palatino Linotype" w:hAnsi="Palatino Linotype" w:cs="Palatino Linotype"/>
          <w:b/>
          <w:sz w:val="18"/>
          <w:szCs w:val="18"/>
        </w:rPr>
        <w:tab/>
        <w:t>Source: NSE</w:t>
      </w:r>
    </w:p>
    <w:p w:rsidR="00DB7D3F" w:rsidRPr="00DB7D3F" w:rsidRDefault="00DB7D3F" w:rsidP="00DB7D3F">
      <w:pPr>
        <w:pBdr>
          <w:top w:val="nil"/>
          <w:left w:val="nil"/>
          <w:bottom w:val="nil"/>
          <w:right w:val="nil"/>
          <w:between w:val="nil"/>
        </w:pBdr>
        <w:spacing w:line="276" w:lineRule="auto"/>
        <w:rPr>
          <w:rFonts w:ascii="Palatino Linotype" w:eastAsia="Palatino Linotype" w:hAnsi="Palatino Linotype" w:cs="Palatino Linotype"/>
          <w:b/>
          <w:sz w:val="22"/>
          <w:szCs w:val="22"/>
        </w:rPr>
      </w:pPr>
    </w:p>
    <w:p w:rsidR="00DB7D3F" w:rsidRPr="00DB7D3F" w:rsidRDefault="00DB7D3F" w:rsidP="00DB7D3F">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Trends in Depository Accounts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As at the end of July 2021, there were 229 lakh demat accounts at NSDL and 420 lakh demat accounts at CDSL. Further, till the end of July 2021, 5,725 listed companies </w:t>
      </w:r>
      <w:r w:rsidR="00A213F3">
        <w:rPr>
          <w:rFonts w:ascii="Palatino Linotype" w:eastAsia="Palatino Linotype" w:hAnsi="Palatino Linotype" w:cs="Palatino Linotype"/>
          <w:sz w:val="22"/>
          <w:szCs w:val="22"/>
        </w:rPr>
        <w:t>had</w:t>
      </w:r>
      <w:r w:rsidR="00A213F3" w:rsidRPr="00DB7D3F">
        <w:rPr>
          <w:rFonts w:ascii="Palatino Linotype" w:eastAsia="Palatino Linotype" w:hAnsi="Palatino Linotype" w:cs="Palatino Linotype"/>
          <w:sz w:val="22"/>
          <w:szCs w:val="22"/>
        </w:rPr>
        <w:t xml:space="preserve"> </w:t>
      </w:r>
      <w:r w:rsidRPr="00DB7D3F">
        <w:rPr>
          <w:rFonts w:ascii="Palatino Linotype" w:eastAsia="Palatino Linotype" w:hAnsi="Palatino Linotype" w:cs="Palatino Linotype"/>
          <w:sz w:val="22"/>
          <w:szCs w:val="22"/>
        </w:rPr>
        <w:t xml:space="preserve">signed up with NSDL and 5,791 listed companies </w:t>
      </w:r>
      <w:r w:rsidR="00A213F3">
        <w:rPr>
          <w:rFonts w:ascii="Palatino Linotype" w:eastAsia="Palatino Linotype" w:hAnsi="Palatino Linotype" w:cs="Palatino Linotype"/>
          <w:sz w:val="22"/>
          <w:szCs w:val="22"/>
        </w:rPr>
        <w:t>had</w:t>
      </w:r>
      <w:r w:rsidR="00A213F3" w:rsidRPr="00DB7D3F">
        <w:rPr>
          <w:rFonts w:ascii="Palatino Linotype" w:eastAsia="Palatino Linotype" w:hAnsi="Palatino Linotype" w:cs="Palatino Linotype"/>
          <w:sz w:val="22"/>
          <w:szCs w:val="22"/>
        </w:rPr>
        <w:t xml:space="preserve"> </w:t>
      </w:r>
      <w:r w:rsidRPr="00DB7D3F">
        <w:rPr>
          <w:rFonts w:ascii="Palatino Linotype" w:eastAsia="Palatino Linotype" w:hAnsi="Palatino Linotype" w:cs="Palatino Linotype"/>
          <w:sz w:val="22"/>
          <w:szCs w:val="22"/>
        </w:rPr>
        <w:t>signed up with CDSL to make their equity holdings available in dematerialised form.</w:t>
      </w: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Default="00DB7D3F" w:rsidP="00DB7D3F">
      <w:pPr>
        <w:spacing w:line="276" w:lineRule="auto"/>
        <w:rPr>
          <w:rFonts w:ascii="Palatino Linotype" w:eastAsia="Palatino Linotype" w:hAnsi="Palatino Linotype" w:cs="Palatino Linotype"/>
          <w:b/>
          <w:color w:val="2E74B5"/>
          <w:sz w:val="22"/>
          <w:szCs w:val="22"/>
          <w:highlight w:val="yellow"/>
        </w:rPr>
      </w:pPr>
    </w:p>
    <w:p w:rsidR="004527F1" w:rsidRPr="00DB7D3F" w:rsidRDefault="004527F1" w:rsidP="00DB7D3F">
      <w:pPr>
        <w:spacing w:line="276" w:lineRule="auto"/>
        <w:rPr>
          <w:rFonts w:ascii="Palatino Linotype" w:eastAsia="Palatino Linotype" w:hAnsi="Palatino Linotype" w:cs="Palatino Linotype"/>
          <w:b/>
          <w:color w:val="2E74B5"/>
          <w:sz w:val="22"/>
          <w:szCs w:val="22"/>
          <w:highlight w:val="yellow"/>
        </w:rPr>
      </w:pPr>
    </w:p>
    <w:p w:rsidR="00DB7D3F" w:rsidRPr="00DB7D3F" w:rsidRDefault="00DB7D3F" w:rsidP="00DB7D3F">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lastRenderedPageBreak/>
        <w:t>Trends in Derivatives Segment</w:t>
      </w:r>
      <w:r w:rsidRPr="00DB7D3F">
        <w:rPr>
          <w:rFonts w:ascii="Palatino Linotype" w:eastAsia="Palatino Linotype" w:hAnsi="Palatino Linotype" w:cs="Palatino Linotype"/>
          <w:b/>
          <w:sz w:val="22"/>
          <w:szCs w:val="22"/>
        </w:rPr>
        <w:tab/>
      </w:r>
    </w:p>
    <w:p w:rsidR="00DB7D3F" w:rsidRPr="00DB7D3F" w:rsidRDefault="00DB7D3F" w:rsidP="00DB7D3F">
      <w:pPr>
        <w:widowControl w:val="0"/>
        <w:spacing w:line="276" w:lineRule="auto"/>
        <w:jc w:val="both"/>
        <w:rPr>
          <w:rFonts w:ascii="Palatino Linotype" w:eastAsia="Palatino Linotype" w:hAnsi="Palatino Linotype" w:cs="Palatino Linotype"/>
          <w:sz w:val="22"/>
          <w:szCs w:val="22"/>
        </w:rPr>
      </w:pPr>
    </w:p>
    <w:p w:rsidR="00DB7D3F" w:rsidRPr="00DB7D3F" w:rsidRDefault="00DB7D3F" w:rsidP="00DB7D3F">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Equity Derivatives</w:t>
      </w:r>
    </w:p>
    <w:p w:rsidR="00DB7D3F" w:rsidRPr="00DB7D3F" w:rsidRDefault="00DB7D3F" w:rsidP="00DB7D3F">
      <w:pPr>
        <w:tabs>
          <w:tab w:val="left" w:pos="3135"/>
        </w:tabs>
        <w:spacing w:line="276" w:lineRule="auto"/>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Table 3: Trends in Equity Derivatives Market</w:t>
      </w:r>
    </w:p>
    <w:tbl>
      <w:tblPr>
        <w:tblW w:w="10332" w:type="dxa"/>
        <w:tblInd w:w="-147" w:type="dxa"/>
        <w:tblLook w:val="04A0" w:firstRow="1" w:lastRow="0" w:firstColumn="1" w:lastColumn="0" w:noHBand="0" w:noVBand="1"/>
      </w:tblPr>
      <w:tblGrid>
        <w:gridCol w:w="1877"/>
        <w:gridCol w:w="1434"/>
        <w:gridCol w:w="1412"/>
        <w:gridCol w:w="1363"/>
        <w:gridCol w:w="1556"/>
        <w:gridCol w:w="1274"/>
        <w:gridCol w:w="1416"/>
      </w:tblGrid>
      <w:tr w:rsidR="00DB7D3F" w:rsidRPr="00DB7D3F" w:rsidTr="00E26457">
        <w:trPr>
          <w:trHeight w:val="249"/>
        </w:trPr>
        <w:tc>
          <w:tcPr>
            <w:tcW w:w="1877"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Description</w:t>
            </w:r>
          </w:p>
        </w:tc>
        <w:tc>
          <w:tcPr>
            <w:tcW w:w="4209"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NSE</w:t>
            </w:r>
          </w:p>
        </w:tc>
        <w:tc>
          <w:tcPr>
            <w:tcW w:w="4245"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BSE</w:t>
            </w:r>
          </w:p>
        </w:tc>
      </w:tr>
      <w:tr w:rsidR="00DB7D3F" w:rsidRPr="00DB7D3F" w:rsidTr="00E26457">
        <w:trPr>
          <w:trHeight w:val="249"/>
        </w:trPr>
        <w:tc>
          <w:tcPr>
            <w:tcW w:w="1877" w:type="dxa"/>
            <w:vMerge/>
            <w:tcBorders>
              <w:top w:val="single" w:sz="4" w:space="0" w:color="auto"/>
              <w:left w:val="single" w:sz="4" w:space="0" w:color="auto"/>
              <w:bottom w:val="single" w:sz="4" w:space="0" w:color="auto"/>
              <w:right w:val="single" w:sz="4" w:space="0" w:color="auto"/>
            </w:tcBorders>
            <w:vAlign w:val="center"/>
            <w:hideMark/>
          </w:tcPr>
          <w:p w:rsidR="00DB7D3F" w:rsidRPr="00DB7D3F" w:rsidRDefault="00DB7D3F" w:rsidP="00DB7D3F">
            <w:pPr>
              <w:rPr>
                <w:rFonts w:ascii="Garamond" w:eastAsia="Times New Roman" w:hAnsi="Garamond"/>
                <w:b/>
                <w:bCs/>
                <w:sz w:val="20"/>
                <w:szCs w:val="20"/>
                <w:lang w:val="en-IN" w:eastAsia="en-IN" w:bidi="hi-IN"/>
              </w:rPr>
            </w:pPr>
          </w:p>
        </w:tc>
        <w:tc>
          <w:tcPr>
            <w:tcW w:w="1434" w:type="dxa"/>
            <w:tcBorders>
              <w:top w:val="nil"/>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Jun-21</w:t>
            </w:r>
          </w:p>
        </w:tc>
        <w:tc>
          <w:tcPr>
            <w:tcW w:w="1412" w:type="dxa"/>
            <w:tcBorders>
              <w:top w:val="nil"/>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Jul-21</w:t>
            </w:r>
          </w:p>
        </w:tc>
        <w:tc>
          <w:tcPr>
            <w:tcW w:w="1362" w:type="dxa"/>
            <w:tcBorders>
              <w:top w:val="nil"/>
              <w:left w:val="nil"/>
              <w:bottom w:val="single" w:sz="4" w:space="0" w:color="auto"/>
              <w:right w:val="single" w:sz="4" w:space="0" w:color="auto"/>
            </w:tcBorders>
            <w:shd w:val="clear" w:color="8DB3E2" w:fill="8DB3E2"/>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Percentage Change Over Month</w:t>
            </w:r>
          </w:p>
        </w:tc>
        <w:tc>
          <w:tcPr>
            <w:tcW w:w="1556" w:type="dxa"/>
            <w:tcBorders>
              <w:top w:val="nil"/>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Jun-21</w:t>
            </w:r>
          </w:p>
        </w:tc>
        <w:tc>
          <w:tcPr>
            <w:tcW w:w="1274" w:type="dxa"/>
            <w:tcBorders>
              <w:top w:val="nil"/>
              <w:left w:val="nil"/>
              <w:bottom w:val="single" w:sz="4" w:space="0" w:color="auto"/>
              <w:right w:val="single" w:sz="4" w:space="0" w:color="auto"/>
            </w:tcBorders>
            <w:shd w:val="clear" w:color="8DB3E2" w:fill="8DB3E2"/>
            <w:noWrap/>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Jul-21</w:t>
            </w:r>
          </w:p>
        </w:tc>
        <w:tc>
          <w:tcPr>
            <w:tcW w:w="1414" w:type="dxa"/>
            <w:tcBorders>
              <w:top w:val="nil"/>
              <w:left w:val="nil"/>
              <w:bottom w:val="single" w:sz="4" w:space="0" w:color="auto"/>
              <w:right w:val="single" w:sz="4" w:space="0" w:color="auto"/>
            </w:tcBorders>
            <w:shd w:val="clear" w:color="8DB3E2" w:fill="8DB3E2"/>
            <w:vAlign w:val="center"/>
            <w:hideMark/>
          </w:tcPr>
          <w:p w:rsidR="00DB7D3F" w:rsidRPr="00DB7D3F" w:rsidRDefault="00DB7D3F" w:rsidP="00DB7D3F">
            <w:pPr>
              <w:jc w:val="cente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Percentage Change Over Month</w:t>
            </w:r>
          </w:p>
        </w:tc>
      </w:tr>
      <w:tr w:rsidR="00DB7D3F" w:rsidRPr="00DB7D3F" w:rsidTr="00E26457">
        <w:trPr>
          <w:trHeight w:val="249"/>
        </w:trPr>
        <w:tc>
          <w:tcPr>
            <w:tcW w:w="1033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A. Turnover  </w:t>
            </w:r>
            <w:r w:rsidRPr="00DB7D3F">
              <w:rPr>
                <w:rFonts w:ascii="Rupee" w:eastAsia="Times New Roman" w:hAnsi="Rupee"/>
                <w:b/>
                <w:bCs/>
                <w:sz w:val="20"/>
                <w:szCs w:val="20"/>
                <w:lang w:val="en-IN" w:eastAsia="en-IN" w:bidi="hi-IN"/>
              </w:rPr>
              <w:t>(</w:t>
            </w:r>
            <w:r w:rsidRPr="00DB7D3F">
              <w:rPr>
                <w:rFonts w:ascii="Rupee Foradian" w:eastAsia="Times New Roman" w:hAnsi="Rupee Foradian"/>
                <w:b/>
                <w:bCs/>
                <w:sz w:val="20"/>
                <w:szCs w:val="20"/>
                <w:lang w:val="en-IN" w:eastAsia="en-IN" w:bidi="hi-IN"/>
              </w:rPr>
              <w:t>`</w:t>
            </w:r>
            <w:r w:rsidRPr="00DB7D3F">
              <w:rPr>
                <w:rFonts w:ascii="Rupee" w:eastAsia="Times New Roman" w:hAnsi="Rupee"/>
                <w:b/>
                <w:bCs/>
                <w:sz w:val="20"/>
                <w:szCs w:val="20"/>
                <w:lang w:val="en-IN" w:eastAsia="en-IN" w:bidi="hi-IN"/>
              </w:rPr>
              <w:t xml:space="preserve"> </w:t>
            </w:r>
            <w:r w:rsidRPr="00DB7D3F">
              <w:rPr>
                <w:rFonts w:ascii="Garamond" w:eastAsia="Times New Roman" w:hAnsi="Garamond"/>
                <w:b/>
                <w:bCs/>
                <w:sz w:val="20"/>
                <w:szCs w:val="20"/>
                <w:lang w:val="en-IN" w:eastAsia="en-IN" w:bidi="hi-IN"/>
              </w:rPr>
              <w:t>crore)</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 Index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5,71,272</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5,17,527</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-9.4</w:t>
            </w:r>
          </w:p>
        </w:tc>
        <w:tc>
          <w:tcPr>
            <w:tcW w:w="1556" w:type="dxa"/>
            <w:tcBorders>
              <w:top w:val="nil"/>
              <w:left w:val="nil"/>
              <w:bottom w:val="single" w:sz="4" w:space="0" w:color="auto"/>
              <w:right w:val="single" w:sz="4" w:space="0" w:color="auto"/>
            </w:tcBorders>
            <w:shd w:val="clear" w:color="auto" w:fill="auto"/>
            <w:vAlign w:val="center"/>
            <w:hideMark/>
          </w:tcPr>
          <w:p w:rsidR="00DB7D3F" w:rsidRPr="00DB7D3F" w:rsidRDefault="00DB7D3F" w:rsidP="00DB7D3F">
            <w:pPr>
              <w:jc w:val="right"/>
              <w:rPr>
                <w:rFonts w:ascii="Garamond" w:eastAsia="Times New Roman" w:hAnsi="Garamond"/>
                <w:color w:val="000000"/>
                <w:sz w:val="20"/>
                <w:szCs w:val="20"/>
                <w:lang w:val="en-IN" w:eastAsia="en-IN" w:bidi="hi-IN"/>
              </w:rPr>
            </w:pPr>
            <w:r w:rsidRPr="00DB7D3F">
              <w:rPr>
                <w:rFonts w:ascii="Garamond" w:eastAsia="Times New Roman" w:hAnsi="Garamond"/>
                <w:color w:val="000000"/>
                <w:sz w:val="20"/>
                <w:szCs w:val="20"/>
                <w:lang w:val="en-IN" w:eastAsia="en-IN" w:bidi="hi-IN"/>
              </w:rPr>
              <w:t>67.5</w:t>
            </w:r>
          </w:p>
        </w:tc>
        <w:tc>
          <w:tcPr>
            <w:tcW w:w="1274" w:type="dxa"/>
            <w:tcBorders>
              <w:top w:val="nil"/>
              <w:left w:val="nil"/>
              <w:bottom w:val="single" w:sz="4" w:space="0" w:color="auto"/>
              <w:right w:val="single" w:sz="4" w:space="0" w:color="auto"/>
            </w:tcBorders>
            <w:shd w:val="clear" w:color="auto" w:fill="auto"/>
            <w:vAlign w:val="center"/>
            <w:hideMark/>
          </w:tcPr>
          <w:p w:rsidR="00DB7D3F" w:rsidRPr="00DB7D3F" w:rsidRDefault="00DB7D3F" w:rsidP="00DB7D3F">
            <w:pPr>
              <w:jc w:val="right"/>
              <w:rPr>
                <w:rFonts w:ascii="Garamond" w:eastAsia="Times New Roman" w:hAnsi="Garamond"/>
                <w:color w:val="000000"/>
                <w:sz w:val="20"/>
                <w:szCs w:val="20"/>
                <w:lang w:val="en-IN" w:eastAsia="en-IN" w:bidi="hi-IN"/>
              </w:rPr>
            </w:pPr>
            <w:r w:rsidRPr="00DB7D3F">
              <w:rPr>
                <w:rFonts w:ascii="Garamond" w:eastAsia="Times New Roman" w:hAnsi="Garamond"/>
                <w:color w:val="000000"/>
                <w:sz w:val="20"/>
                <w:szCs w:val="20"/>
                <w:lang w:val="en-IN" w:eastAsia="en-IN" w:bidi="hi-IN"/>
              </w:rPr>
              <w:t>24.6</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-64</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 Options on Index</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4,51,14,987</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5,09,64,253</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13.0</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24,40,367</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17,07,079</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-30.0</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4,94,68,889</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5,59,34,944</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13.1</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42,30,952</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46,52,732</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10.0</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(iii) Stock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17,67,538</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15,68,133</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-11.3</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(iv) Options on Stock</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11,24,016</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11,24,196</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556" w:type="dxa"/>
            <w:tcBorders>
              <w:top w:val="nil"/>
              <w:left w:val="nil"/>
              <w:bottom w:val="single" w:sz="4" w:space="0" w:color="auto"/>
              <w:right w:val="single" w:sz="4" w:space="0" w:color="auto"/>
            </w:tcBorders>
            <w:shd w:val="clear" w:color="auto" w:fill="auto"/>
            <w:noWrap/>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274" w:type="dxa"/>
            <w:tcBorders>
              <w:top w:val="nil"/>
              <w:left w:val="nil"/>
              <w:bottom w:val="single" w:sz="4" w:space="0" w:color="auto"/>
              <w:right w:val="single" w:sz="4" w:space="0" w:color="auto"/>
            </w:tcBorders>
            <w:shd w:val="clear" w:color="auto" w:fill="auto"/>
            <w:noWrap/>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33,45,204</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30,14,179</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-9.9</w:t>
            </w:r>
          </w:p>
        </w:tc>
        <w:tc>
          <w:tcPr>
            <w:tcW w:w="1556" w:type="dxa"/>
            <w:tcBorders>
              <w:top w:val="nil"/>
              <w:left w:val="nil"/>
              <w:bottom w:val="single" w:sz="4" w:space="0" w:color="auto"/>
              <w:right w:val="single" w:sz="4" w:space="0" w:color="auto"/>
            </w:tcBorders>
            <w:shd w:val="clear" w:color="auto" w:fill="auto"/>
            <w:noWrap/>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274" w:type="dxa"/>
            <w:tcBorders>
              <w:top w:val="nil"/>
              <w:left w:val="nil"/>
              <w:bottom w:val="single" w:sz="4" w:space="0" w:color="auto"/>
              <w:right w:val="single" w:sz="4" w:space="0" w:color="auto"/>
            </w:tcBorders>
            <w:shd w:val="clear" w:color="auto" w:fill="auto"/>
            <w:noWrap/>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         Total</w:t>
            </w:r>
          </w:p>
        </w:tc>
        <w:tc>
          <w:tcPr>
            <w:tcW w:w="143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10,13,91,906</w:t>
            </w:r>
          </w:p>
        </w:tc>
        <w:tc>
          <w:tcPr>
            <w:tcW w:w="141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11,31,23,232</w:t>
            </w:r>
          </w:p>
        </w:tc>
        <w:tc>
          <w:tcPr>
            <w:tcW w:w="136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11.6</w:t>
            </w:r>
          </w:p>
        </w:tc>
        <w:tc>
          <w:tcPr>
            <w:tcW w:w="1556"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66,71,387</w:t>
            </w:r>
          </w:p>
        </w:tc>
        <w:tc>
          <w:tcPr>
            <w:tcW w:w="127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63,59,836</w:t>
            </w:r>
          </w:p>
        </w:tc>
        <w:tc>
          <w:tcPr>
            <w:tcW w:w="141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-4.7</w:t>
            </w:r>
          </w:p>
        </w:tc>
      </w:tr>
      <w:tr w:rsidR="00DB7D3F" w:rsidRPr="00DB7D3F" w:rsidTr="00E26457">
        <w:trPr>
          <w:trHeight w:val="249"/>
        </w:trPr>
        <w:tc>
          <w:tcPr>
            <w:tcW w:w="1033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B. No. of Contracts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 Index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60,12,511</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62,17,505</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3.4</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color w:val="000000"/>
                <w:sz w:val="20"/>
                <w:szCs w:val="20"/>
                <w:lang w:val="en-IN" w:eastAsia="en-IN" w:bidi="hi-IN"/>
              </w:rPr>
            </w:pPr>
            <w:r w:rsidRPr="00DB7D3F">
              <w:rPr>
                <w:rFonts w:ascii="Garamond" w:eastAsia="Times New Roman" w:hAnsi="Garamond"/>
                <w:color w:val="000000"/>
                <w:sz w:val="20"/>
                <w:szCs w:val="20"/>
                <w:lang w:val="en-IN" w:eastAsia="en-IN" w:bidi="hi-IN"/>
              </w:rPr>
              <w:t>607</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color w:val="000000"/>
                <w:sz w:val="20"/>
                <w:szCs w:val="20"/>
                <w:lang w:val="en-IN" w:eastAsia="en-IN" w:bidi="hi-IN"/>
              </w:rPr>
            </w:pPr>
            <w:r w:rsidRPr="00DB7D3F">
              <w:rPr>
                <w:rFonts w:ascii="Garamond" w:eastAsia="Times New Roman" w:hAnsi="Garamond"/>
                <w:color w:val="000000"/>
                <w:sz w:val="20"/>
                <w:szCs w:val="20"/>
                <w:lang w:val="en-IN" w:eastAsia="en-IN" w:bidi="hi-IN"/>
              </w:rPr>
              <w:t>297</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color w:val="000000"/>
                <w:sz w:val="20"/>
                <w:szCs w:val="20"/>
                <w:lang w:val="en-IN" w:eastAsia="en-IN" w:bidi="hi-IN"/>
              </w:rPr>
            </w:pPr>
            <w:r w:rsidRPr="00DB7D3F">
              <w:rPr>
                <w:rFonts w:ascii="Garamond" w:eastAsia="Times New Roman" w:hAnsi="Garamond"/>
                <w:color w:val="000000"/>
                <w:sz w:val="20"/>
                <w:szCs w:val="20"/>
                <w:lang w:val="en-IN" w:eastAsia="en-IN" w:bidi="hi-IN"/>
              </w:rPr>
              <w:t>-51.1</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 Options on Index</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46,65,60,694</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55,43,21,856</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18.8</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2,45,83,688</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2,21,84,584</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-9.8</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49,79,53,231</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59,40,41,199</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19.3</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3,43,85,705</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5,36,14,041</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55.9</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(iii) Stock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2,17,78,143</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1,92,78,363</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-11.5</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(iv) Options on Stock</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1,42,32,131</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1,40,07,406</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-1.6</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3,93,45,165</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3,53,30,628</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-10.2</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         Total</w:t>
            </w:r>
          </w:p>
        </w:tc>
        <w:tc>
          <w:tcPr>
            <w:tcW w:w="143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104,58,81,875</w:t>
            </w:r>
          </w:p>
        </w:tc>
        <w:tc>
          <w:tcPr>
            <w:tcW w:w="141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122,31,96,957</w:t>
            </w:r>
          </w:p>
        </w:tc>
        <w:tc>
          <w:tcPr>
            <w:tcW w:w="136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17.0</w:t>
            </w:r>
          </w:p>
        </w:tc>
        <w:tc>
          <w:tcPr>
            <w:tcW w:w="1556"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5,89,70,000</w:t>
            </w:r>
          </w:p>
        </w:tc>
        <w:tc>
          <w:tcPr>
            <w:tcW w:w="127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7,57,98,922</w:t>
            </w:r>
          </w:p>
        </w:tc>
        <w:tc>
          <w:tcPr>
            <w:tcW w:w="141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28.5</w:t>
            </w:r>
          </w:p>
        </w:tc>
      </w:tr>
      <w:tr w:rsidR="00DB7D3F" w:rsidRPr="00DB7D3F" w:rsidTr="00E26457">
        <w:trPr>
          <w:trHeight w:val="249"/>
        </w:trPr>
        <w:tc>
          <w:tcPr>
            <w:tcW w:w="1033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C.  Open Interest in Terms of Value ( </w:t>
            </w:r>
            <w:r w:rsidRPr="00DB7D3F">
              <w:rPr>
                <w:rFonts w:ascii="Rupee Foradian" w:eastAsia="Times New Roman" w:hAnsi="Rupee Foradian"/>
                <w:b/>
                <w:bCs/>
                <w:sz w:val="20"/>
                <w:szCs w:val="20"/>
                <w:lang w:val="en-IN" w:eastAsia="en-IN" w:bidi="hi-IN"/>
              </w:rPr>
              <w:t>`</w:t>
            </w:r>
            <w:r w:rsidRPr="00DB7D3F">
              <w:rPr>
                <w:rFonts w:ascii="Garamond" w:eastAsia="Times New Roman" w:hAnsi="Garamond"/>
                <w:b/>
                <w:bCs/>
                <w:sz w:val="20"/>
                <w:szCs w:val="20"/>
                <w:lang w:val="en-IN" w:eastAsia="en-IN" w:bidi="hi-IN"/>
              </w:rPr>
              <w:t xml:space="preserve"> crore)</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 Index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23,957</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23,729</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-89.3</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 Options on Index</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1,82,203</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1,57,932</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-13.3</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-94.9</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2,33,102</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1,61,142</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-30.9</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55</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-94.4</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(iii) Stock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1,65,093</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1,70,656</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3.4</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(iv) Options on Stock</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35,312</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31,469</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-10.9</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63,047</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52,398</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-16.9</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         Total</w:t>
            </w:r>
          </w:p>
        </w:tc>
        <w:tc>
          <w:tcPr>
            <w:tcW w:w="143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7,02,714</w:t>
            </w:r>
          </w:p>
        </w:tc>
        <w:tc>
          <w:tcPr>
            <w:tcW w:w="141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5,97,327</w:t>
            </w:r>
          </w:p>
        </w:tc>
        <w:tc>
          <w:tcPr>
            <w:tcW w:w="136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-15.0</w:t>
            </w:r>
          </w:p>
        </w:tc>
        <w:tc>
          <w:tcPr>
            <w:tcW w:w="1556"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110.4</w:t>
            </w:r>
          </w:p>
        </w:tc>
        <w:tc>
          <w:tcPr>
            <w:tcW w:w="127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6.2</w:t>
            </w:r>
          </w:p>
        </w:tc>
        <w:tc>
          <w:tcPr>
            <w:tcW w:w="141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-94.4</w:t>
            </w:r>
          </w:p>
        </w:tc>
      </w:tr>
      <w:tr w:rsidR="00DB7D3F" w:rsidRPr="00DB7D3F" w:rsidTr="00E26457">
        <w:trPr>
          <w:trHeight w:val="249"/>
        </w:trPr>
        <w:tc>
          <w:tcPr>
            <w:tcW w:w="1033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D.  Open Interest in Terms of No</w:t>
            </w:r>
            <w:r w:rsidR="0015129D">
              <w:rPr>
                <w:rFonts w:ascii="Garamond" w:eastAsia="Times New Roman" w:hAnsi="Garamond"/>
                <w:b/>
                <w:bCs/>
                <w:sz w:val="20"/>
                <w:szCs w:val="20"/>
                <w:lang w:val="en-IN" w:eastAsia="en-IN" w:bidi="hi-IN"/>
              </w:rPr>
              <w:t>.</w:t>
            </w:r>
            <w:r w:rsidRPr="00DB7D3F">
              <w:rPr>
                <w:rFonts w:ascii="Garamond" w:eastAsia="Times New Roman" w:hAnsi="Garamond"/>
                <w:b/>
                <w:bCs/>
                <w:sz w:val="20"/>
                <w:szCs w:val="20"/>
                <w:lang w:val="en-IN" w:eastAsia="en-IN" w:bidi="hi-IN"/>
              </w:rPr>
              <w:t xml:space="preserve"> of Contracts</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 Index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2,95,125</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2,92,690</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-0.8</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66</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7</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-89.4</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 Options on Index</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19,69,939</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19,50,195</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604</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31</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-94.9</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24,43,295</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19,77,180</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-19.1</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669</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37</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-94.5</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xml:space="preserve">  (iii) Stock Futures</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21,02,186</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21,22,318</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1.0</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(iv) Options on Stock</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 </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Put</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4,62,888</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4,01,683</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-13.2</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i/>
                <w:iCs/>
                <w:sz w:val="20"/>
                <w:szCs w:val="20"/>
                <w:lang w:val="en-IN" w:eastAsia="en-IN" w:bidi="hi-IN"/>
              </w:rPr>
            </w:pPr>
            <w:r w:rsidRPr="00DB7D3F">
              <w:rPr>
                <w:rFonts w:ascii="Garamond" w:eastAsia="Times New Roman" w:hAnsi="Garamond"/>
                <w:i/>
                <w:iCs/>
                <w:sz w:val="20"/>
                <w:szCs w:val="20"/>
                <w:lang w:val="en-IN" w:eastAsia="en-IN" w:bidi="hi-IN"/>
              </w:rPr>
              <w:t xml:space="preserve">          Call</w:t>
            </w:r>
          </w:p>
        </w:tc>
        <w:tc>
          <w:tcPr>
            <w:tcW w:w="143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8,43,940</w:t>
            </w:r>
          </w:p>
        </w:tc>
        <w:tc>
          <w:tcPr>
            <w:tcW w:w="141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6,69,221</w:t>
            </w:r>
          </w:p>
        </w:tc>
        <w:tc>
          <w:tcPr>
            <w:tcW w:w="1362"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-20.7</w:t>
            </w:r>
          </w:p>
        </w:tc>
        <w:tc>
          <w:tcPr>
            <w:tcW w:w="1556"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27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0</w:t>
            </w:r>
          </w:p>
        </w:tc>
        <w:tc>
          <w:tcPr>
            <w:tcW w:w="1414" w:type="dxa"/>
            <w:tcBorders>
              <w:top w:val="nil"/>
              <w:left w:val="nil"/>
              <w:bottom w:val="single" w:sz="4" w:space="0" w:color="auto"/>
              <w:right w:val="single" w:sz="4" w:space="0" w:color="auto"/>
            </w:tcBorders>
            <w:shd w:val="clear" w:color="auto" w:fill="auto"/>
            <w:noWrap/>
            <w:vAlign w:val="center"/>
            <w:hideMark/>
          </w:tcPr>
          <w:p w:rsidR="00DB7D3F" w:rsidRPr="00DB7D3F" w:rsidRDefault="00DB7D3F" w:rsidP="00DB7D3F">
            <w:pPr>
              <w:jc w:val="right"/>
              <w:rPr>
                <w:rFonts w:ascii="Garamond" w:eastAsia="Times New Roman" w:hAnsi="Garamond"/>
                <w:sz w:val="20"/>
                <w:szCs w:val="20"/>
                <w:lang w:val="en-IN" w:eastAsia="en-IN" w:bidi="hi-IN"/>
              </w:rPr>
            </w:pPr>
            <w:r w:rsidRPr="00DB7D3F">
              <w:rPr>
                <w:rFonts w:ascii="Garamond" w:eastAsia="Times New Roman" w:hAnsi="Garamond"/>
                <w:sz w:val="20"/>
                <w:szCs w:val="20"/>
                <w:lang w:val="en-IN" w:eastAsia="en-IN" w:bidi="hi-IN"/>
              </w:rPr>
              <w:t>NA</w:t>
            </w:r>
          </w:p>
        </w:tc>
      </w:tr>
      <w:tr w:rsidR="00DB7D3F" w:rsidRPr="00DB7D3F" w:rsidTr="00E26457">
        <w:trPr>
          <w:trHeight w:val="249"/>
        </w:trPr>
        <w:tc>
          <w:tcPr>
            <w:tcW w:w="1877" w:type="dxa"/>
            <w:tcBorders>
              <w:top w:val="nil"/>
              <w:left w:val="single" w:sz="4" w:space="0" w:color="auto"/>
              <w:bottom w:val="single" w:sz="4" w:space="0" w:color="auto"/>
              <w:right w:val="single" w:sz="4" w:space="0" w:color="auto"/>
            </w:tcBorders>
            <w:shd w:val="clear" w:color="C6D9F0" w:fill="C6D9F0"/>
            <w:noWrap/>
            <w:vAlign w:val="center"/>
            <w:hideMark/>
          </w:tcPr>
          <w:p w:rsidR="00DB7D3F" w:rsidRPr="00DB7D3F" w:rsidRDefault="00DB7D3F" w:rsidP="00DB7D3F">
            <w:pPr>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 xml:space="preserve">         Total</w:t>
            </w:r>
          </w:p>
        </w:tc>
        <w:tc>
          <w:tcPr>
            <w:tcW w:w="143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81,17,373</w:t>
            </w:r>
          </w:p>
        </w:tc>
        <w:tc>
          <w:tcPr>
            <w:tcW w:w="141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74,13,287</w:t>
            </w:r>
          </w:p>
        </w:tc>
        <w:tc>
          <w:tcPr>
            <w:tcW w:w="1362"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-8.7</w:t>
            </w:r>
          </w:p>
        </w:tc>
        <w:tc>
          <w:tcPr>
            <w:tcW w:w="1556"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1,339</w:t>
            </w:r>
          </w:p>
        </w:tc>
        <w:tc>
          <w:tcPr>
            <w:tcW w:w="127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75</w:t>
            </w:r>
          </w:p>
        </w:tc>
        <w:tc>
          <w:tcPr>
            <w:tcW w:w="1414" w:type="dxa"/>
            <w:tcBorders>
              <w:top w:val="nil"/>
              <w:left w:val="nil"/>
              <w:bottom w:val="single" w:sz="4" w:space="0" w:color="auto"/>
              <w:right w:val="single" w:sz="4" w:space="0" w:color="auto"/>
            </w:tcBorders>
            <w:shd w:val="clear" w:color="C6D9F0" w:fill="C6D9F0"/>
            <w:noWrap/>
            <w:vAlign w:val="center"/>
            <w:hideMark/>
          </w:tcPr>
          <w:p w:rsidR="00DB7D3F" w:rsidRPr="00DB7D3F" w:rsidRDefault="00DB7D3F" w:rsidP="00DB7D3F">
            <w:pPr>
              <w:jc w:val="right"/>
              <w:rPr>
                <w:rFonts w:ascii="Garamond" w:eastAsia="Times New Roman" w:hAnsi="Garamond"/>
                <w:b/>
                <w:bCs/>
                <w:sz w:val="20"/>
                <w:szCs w:val="20"/>
                <w:lang w:val="en-IN" w:eastAsia="en-IN" w:bidi="hi-IN"/>
              </w:rPr>
            </w:pPr>
            <w:r w:rsidRPr="00DB7D3F">
              <w:rPr>
                <w:rFonts w:ascii="Garamond" w:eastAsia="Times New Roman" w:hAnsi="Garamond"/>
                <w:b/>
                <w:bCs/>
                <w:sz w:val="20"/>
                <w:szCs w:val="20"/>
                <w:lang w:val="en-IN" w:eastAsia="en-IN" w:bidi="hi-IN"/>
              </w:rPr>
              <w:t>-94.4</w:t>
            </w:r>
          </w:p>
        </w:tc>
      </w:tr>
    </w:tbl>
    <w:p w:rsidR="00DB7D3F" w:rsidRPr="00DB7D3F" w:rsidRDefault="00DB7D3F" w:rsidP="00DB7D3F">
      <w:pPr>
        <w:tabs>
          <w:tab w:val="left" w:pos="3135"/>
        </w:tabs>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Source: NSE and BSE</w:t>
      </w:r>
    </w:p>
    <w:p w:rsidR="00DB7D3F" w:rsidRPr="00DB7D3F" w:rsidRDefault="00DB7D3F" w:rsidP="00DB7D3F">
      <w:pPr>
        <w:tabs>
          <w:tab w:val="left" w:pos="3135"/>
        </w:tabs>
        <w:spacing w:line="276" w:lineRule="auto"/>
        <w:rPr>
          <w:rFonts w:ascii="Palatino Linotype" w:eastAsia="Palatino Linotype" w:hAnsi="Palatino Linotype" w:cs="Palatino Linotype"/>
          <w:b/>
          <w:color w:val="2E74B5"/>
          <w:sz w:val="22"/>
          <w:szCs w:val="22"/>
          <w:highlight w:val="yellow"/>
        </w:rPr>
      </w:pPr>
    </w:p>
    <w:p w:rsidR="00DB7D3F" w:rsidRPr="00DB7D3F" w:rsidRDefault="00DB7D3F" w:rsidP="00DB7D3F">
      <w:pPr>
        <w:tabs>
          <w:tab w:val="left" w:pos="3135"/>
        </w:tabs>
        <w:spacing w:line="276" w:lineRule="auto"/>
        <w:rPr>
          <w:rFonts w:ascii="Palatino Linotype" w:eastAsia="Palatino Linotype" w:hAnsi="Palatino Linotype" w:cs="Palatino Linotype"/>
          <w:b/>
          <w:sz w:val="22"/>
          <w:szCs w:val="22"/>
          <w:u w:val="single"/>
        </w:rPr>
      </w:pPr>
      <w:r w:rsidRPr="00DB7D3F">
        <w:rPr>
          <w:rFonts w:ascii="Palatino Linotype" w:eastAsia="Palatino Linotype" w:hAnsi="Palatino Linotype" w:cs="Palatino Linotype"/>
          <w:b/>
          <w:sz w:val="22"/>
          <w:szCs w:val="22"/>
          <w:u w:val="single"/>
        </w:rPr>
        <w:t xml:space="preserve">BSE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 notional turnover of the equity derivatives segment at BSE decreased by 4.7 per cent to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63.6 lakh crore compared </w:t>
      </w:r>
      <w:r w:rsidR="00A213F3">
        <w:rPr>
          <w:rFonts w:ascii="Palatino Linotype" w:eastAsia="Palatino Linotype" w:hAnsi="Palatino Linotype" w:cs="Palatino Linotype"/>
          <w:sz w:val="22"/>
          <w:szCs w:val="22"/>
        </w:rPr>
        <w:t>to</w:t>
      </w:r>
      <w:r w:rsidR="00A213F3" w:rsidRPr="00DB7D3F">
        <w:rPr>
          <w:rFonts w:ascii="Palatino Linotype" w:eastAsia="Palatino Linotype" w:hAnsi="Palatino Linotype" w:cs="Palatino Linotype"/>
          <w:sz w:val="22"/>
          <w:szCs w:val="22"/>
        </w:rPr>
        <w:t xml:space="preserve">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 xml:space="preserve">66.7 lakh crore in </w:t>
      </w:r>
      <w:r w:rsidRPr="00DB7D3F">
        <w:rPr>
          <w:rFonts w:ascii="Palatino Linotype" w:eastAsia="Tahoma" w:hAnsi="Palatino Linotype"/>
          <w:sz w:val="22"/>
          <w:szCs w:val="22"/>
        </w:rPr>
        <w:t>June 2021</w:t>
      </w:r>
      <w:r w:rsidRPr="00DB7D3F">
        <w:rPr>
          <w:rFonts w:ascii="Palatino Linotype" w:eastAsia="Palatino Linotype" w:hAnsi="Palatino Linotype" w:cs="Palatino Linotype"/>
          <w:sz w:val="22"/>
          <w:szCs w:val="22"/>
        </w:rPr>
        <w:t xml:space="preserv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B7D3F">
        <w:rPr>
          <w:rFonts w:ascii="Palatino Linotype" w:eastAsia="Palatino Linotype" w:hAnsi="Palatino Linotype" w:cs="Palatino Linotype"/>
          <w:sz w:val="22"/>
          <w:szCs w:val="22"/>
        </w:rPr>
        <w:t>As at</w:t>
      </w:r>
      <w:r w:rsidRPr="00DB7D3F">
        <w:rPr>
          <w:rFonts w:ascii="Palatino Linotype" w:eastAsia="Tahoma" w:hAnsi="Palatino Linotype"/>
          <w:sz w:val="22"/>
          <w:szCs w:val="22"/>
        </w:rPr>
        <w:t xml:space="preserve"> the end of July 2021, the open interest in terms of value at BSE stood at </w:t>
      </w:r>
      <w:r w:rsidRPr="00DB7D3F">
        <w:rPr>
          <w:rFonts w:ascii="Times New Roman" w:eastAsia="Tahoma" w:hAnsi="Times New Roman"/>
          <w:sz w:val="22"/>
          <w:szCs w:val="22"/>
        </w:rPr>
        <w:t>₹</w:t>
      </w:r>
      <w:r w:rsidRPr="00DB7D3F">
        <w:rPr>
          <w:rFonts w:ascii="Palatino Linotype" w:eastAsia="Tahoma" w:hAnsi="Palatino Linotype"/>
          <w:sz w:val="22"/>
          <w:szCs w:val="22"/>
        </w:rPr>
        <w:t xml:space="preserve">6.2 crore compared to </w:t>
      </w:r>
      <w:r w:rsidRPr="00DB7D3F">
        <w:rPr>
          <w:rFonts w:ascii="Tahoma" w:eastAsia="Tahoma" w:hAnsi="Tahoma" w:cs="Tahoma"/>
          <w:sz w:val="22"/>
          <w:szCs w:val="22"/>
        </w:rPr>
        <w:t>₹</w:t>
      </w:r>
      <w:r w:rsidRPr="00DB7D3F">
        <w:rPr>
          <w:rFonts w:ascii="Palatino Linotype" w:eastAsia="Tahoma" w:hAnsi="Palatino Linotype"/>
          <w:sz w:val="22"/>
          <w:szCs w:val="22"/>
        </w:rPr>
        <w:t>110.4 crore as at the end of June 2021.</w:t>
      </w: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DB7D3F" w:rsidRPr="00DB7D3F" w:rsidRDefault="00DB7D3F" w:rsidP="00DB7D3F">
      <w:pPr>
        <w:tabs>
          <w:tab w:val="left" w:pos="3135"/>
        </w:tabs>
        <w:spacing w:line="276" w:lineRule="auto"/>
        <w:rPr>
          <w:rFonts w:ascii="Palatino Linotype" w:eastAsia="Palatino Linotype" w:hAnsi="Palatino Linotype" w:cs="Palatino Linotype"/>
          <w:b/>
          <w:sz w:val="22"/>
          <w:szCs w:val="22"/>
          <w:u w:val="single"/>
        </w:rPr>
      </w:pPr>
      <w:r w:rsidRPr="00DB7D3F">
        <w:rPr>
          <w:rFonts w:ascii="Palatino Linotype" w:eastAsia="Palatino Linotype" w:hAnsi="Palatino Linotype" w:cs="Palatino Linotype"/>
          <w:b/>
          <w:sz w:val="22"/>
          <w:szCs w:val="22"/>
          <w:u w:val="single"/>
        </w:rPr>
        <w:t xml:space="preserve">NSE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B7D3F">
        <w:rPr>
          <w:rFonts w:ascii="Palatino Linotype" w:eastAsia="Palatino Linotype" w:hAnsi="Palatino Linotype" w:cs="Palatino Linotype"/>
          <w:sz w:val="22"/>
          <w:szCs w:val="22"/>
        </w:rPr>
        <w:t xml:space="preserve">The monthly notional turnover in the equity derivatives segment at NSE increased by 11.6 per cent to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1</w:t>
      </w:r>
      <w:r w:rsidR="00A213F3">
        <w:rPr>
          <w:rFonts w:ascii="Palatino Linotype" w:eastAsia="Palatino Linotype" w:hAnsi="Palatino Linotype" w:cs="Palatino Linotype"/>
          <w:sz w:val="22"/>
          <w:szCs w:val="22"/>
        </w:rPr>
        <w:t>,</w:t>
      </w:r>
      <w:r w:rsidRPr="00DB7D3F">
        <w:rPr>
          <w:rFonts w:ascii="Palatino Linotype" w:eastAsia="Palatino Linotype" w:hAnsi="Palatino Linotype" w:cs="Palatino Linotype"/>
          <w:sz w:val="22"/>
          <w:szCs w:val="22"/>
        </w:rPr>
        <w:t xml:space="preserve">131 lakh crore in July 2021 from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1</w:t>
      </w:r>
      <w:r w:rsidR="00A213F3">
        <w:rPr>
          <w:rFonts w:ascii="Palatino Linotype" w:eastAsia="Palatino Linotype" w:hAnsi="Palatino Linotype" w:cs="Palatino Linotype"/>
          <w:sz w:val="22"/>
          <w:szCs w:val="22"/>
        </w:rPr>
        <w:t>,</w:t>
      </w:r>
      <w:r w:rsidRPr="00DB7D3F">
        <w:rPr>
          <w:rFonts w:ascii="Palatino Linotype" w:eastAsia="Palatino Linotype" w:hAnsi="Palatino Linotype" w:cs="Palatino Linotype"/>
          <w:sz w:val="22"/>
          <w:szCs w:val="22"/>
        </w:rPr>
        <w:t xml:space="preserve">013 lakh crore in June 2021.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DB7D3F">
        <w:rPr>
          <w:rFonts w:ascii="Palatino Linotype" w:eastAsia="Palatino Linotype" w:hAnsi="Palatino Linotype" w:cs="Palatino Linotype"/>
          <w:sz w:val="22"/>
          <w:szCs w:val="22"/>
        </w:rPr>
        <w:t xml:space="preserve">During the above period, </w:t>
      </w:r>
    </w:p>
    <w:p w:rsidR="00DB7D3F" w:rsidRPr="00DB7D3F" w:rsidRDefault="00DB7D3F" w:rsidP="00DB7D3F">
      <w:pPr>
        <w:pBdr>
          <w:top w:val="nil"/>
          <w:left w:val="nil"/>
          <w:bottom w:val="nil"/>
          <w:right w:val="nil"/>
          <w:between w:val="nil"/>
        </w:pBdr>
        <w:spacing w:line="276" w:lineRule="auto"/>
        <w:ind w:left="709"/>
        <w:jc w:val="both"/>
        <w:rPr>
          <w:rFonts w:ascii="Palatino Linotype" w:eastAsia="Tahoma" w:hAnsi="Palatino Linotype"/>
          <w:sz w:val="22"/>
          <w:szCs w:val="22"/>
        </w:rPr>
      </w:pPr>
      <w:r w:rsidRPr="00DB7D3F">
        <w:rPr>
          <w:rFonts w:ascii="Palatino Linotype" w:eastAsia="Tahoma" w:hAnsi="Palatino Linotype"/>
          <w:sz w:val="22"/>
          <w:szCs w:val="22"/>
        </w:rPr>
        <w:t xml:space="preserve">(i) the notional turnover of index options increased by 13.0 per cent to </w:t>
      </w:r>
      <w:r w:rsidRPr="00DB7D3F">
        <w:rPr>
          <w:rFonts w:ascii="Times New Roman" w:eastAsia="Tahoma" w:hAnsi="Times New Roman"/>
          <w:sz w:val="22"/>
          <w:szCs w:val="22"/>
        </w:rPr>
        <w:t>₹</w:t>
      </w:r>
      <w:r w:rsidRPr="00DB7D3F">
        <w:rPr>
          <w:rFonts w:ascii="Palatino Linotype" w:eastAsia="Tahoma" w:hAnsi="Palatino Linotype"/>
          <w:sz w:val="22"/>
          <w:szCs w:val="22"/>
        </w:rPr>
        <w:t>1</w:t>
      </w:r>
      <w:r w:rsidR="00A213F3">
        <w:rPr>
          <w:rFonts w:ascii="Palatino Linotype" w:eastAsia="Tahoma" w:hAnsi="Palatino Linotype"/>
          <w:sz w:val="22"/>
          <w:szCs w:val="22"/>
        </w:rPr>
        <w:t>,</w:t>
      </w:r>
      <w:r w:rsidRPr="00DB7D3F">
        <w:rPr>
          <w:rFonts w:ascii="Palatino Linotype" w:eastAsia="Tahoma" w:hAnsi="Palatino Linotype"/>
          <w:sz w:val="22"/>
          <w:szCs w:val="22"/>
        </w:rPr>
        <w:t xml:space="preserve">069 lakh crore, and accounted for 94.5 per cent of the total equity derivatives turnover of NSE; </w:t>
      </w:r>
    </w:p>
    <w:p w:rsidR="00DB7D3F" w:rsidRPr="00DB7D3F" w:rsidRDefault="00DB7D3F" w:rsidP="00DB7D3F">
      <w:pPr>
        <w:pBdr>
          <w:top w:val="nil"/>
          <w:left w:val="nil"/>
          <w:bottom w:val="nil"/>
          <w:right w:val="nil"/>
          <w:between w:val="nil"/>
        </w:pBdr>
        <w:spacing w:line="276" w:lineRule="auto"/>
        <w:ind w:left="709"/>
        <w:jc w:val="both"/>
        <w:rPr>
          <w:rFonts w:ascii="Palatino Linotype" w:eastAsia="Tahoma" w:hAnsi="Palatino Linotype"/>
          <w:sz w:val="22"/>
          <w:szCs w:val="22"/>
        </w:rPr>
      </w:pPr>
      <w:r w:rsidRPr="00DB7D3F">
        <w:rPr>
          <w:rFonts w:ascii="Palatino Linotype" w:eastAsia="Tahoma" w:hAnsi="Palatino Linotype"/>
          <w:sz w:val="22"/>
          <w:szCs w:val="22"/>
        </w:rPr>
        <w:t xml:space="preserve">(ii) the notional turnover of stock options decreased by 7.4 per cent to </w:t>
      </w:r>
      <w:r w:rsidRPr="00DB7D3F">
        <w:rPr>
          <w:rFonts w:ascii="Times New Roman" w:eastAsia="Tahoma" w:hAnsi="Times New Roman"/>
          <w:sz w:val="22"/>
          <w:szCs w:val="22"/>
        </w:rPr>
        <w:t>₹</w:t>
      </w:r>
      <w:r w:rsidRPr="00DB7D3F">
        <w:rPr>
          <w:rFonts w:ascii="Palatino Linotype" w:eastAsia="Tahoma" w:hAnsi="Palatino Linotype"/>
          <w:sz w:val="22"/>
          <w:szCs w:val="22"/>
        </w:rPr>
        <w:t xml:space="preserve">41.4 lakh crore; </w:t>
      </w:r>
    </w:p>
    <w:p w:rsidR="00DB7D3F" w:rsidRPr="00DB7D3F" w:rsidRDefault="00DB7D3F" w:rsidP="00DB7D3F">
      <w:pPr>
        <w:pBdr>
          <w:top w:val="nil"/>
          <w:left w:val="nil"/>
          <w:bottom w:val="nil"/>
          <w:right w:val="nil"/>
          <w:between w:val="nil"/>
        </w:pBdr>
        <w:spacing w:line="276" w:lineRule="auto"/>
        <w:ind w:left="709"/>
        <w:jc w:val="both"/>
        <w:rPr>
          <w:rFonts w:ascii="Palatino Linotype" w:eastAsia="Tahoma" w:hAnsi="Palatino Linotype"/>
          <w:sz w:val="22"/>
          <w:szCs w:val="22"/>
        </w:rPr>
      </w:pPr>
      <w:r w:rsidRPr="00DB7D3F">
        <w:rPr>
          <w:rFonts w:ascii="Palatino Linotype" w:eastAsia="Tahoma" w:hAnsi="Palatino Linotype"/>
          <w:sz w:val="22"/>
          <w:szCs w:val="22"/>
        </w:rPr>
        <w:t xml:space="preserve">(iii) the notional turnover of index futures decreased by 9.4 per cent to </w:t>
      </w:r>
      <w:r w:rsidRPr="00DB7D3F">
        <w:rPr>
          <w:rFonts w:ascii="Times New Roman" w:eastAsia="Tahoma" w:hAnsi="Times New Roman"/>
          <w:sz w:val="22"/>
          <w:szCs w:val="22"/>
        </w:rPr>
        <w:t>₹</w:t>
      </w:r>
      <w:r w:rsidRPr="00DB7D3F">
        <w:rPr>
          <w:rFonts w:ascii="Palatino Linotype" w:eastAsia="Tahoma" w:hAnsi="Palatino Linotype"/>
          <w:sz w:val="22"/>
          <w:szCs w:val="22"/>
        </w:rPr>
        <w:t xml:space="preserve">5.1 lakh crore; and </w:t>
      </w:r>
    </w:p>
    <w:p w:rsidR="00DB7D3F" w:rsidRPr="00DB7D3F" w:rsidRDefault="00DB7D3F" w:rsidP="00DB7D3F">
      <w:pPr>
        <w:pBdr>
          <w:top w:val="nil"/>
          <w:left w:val="nil"/>
          <w:bottom w:val="nil"/>
          <w:right w:val="nil"/>
          <w:between w:val="nil"/>
        </w:pBdr>
        <w:spacing w:line="276" w:lineRule="auto"/>
        <w:ind w:left="709"/>
        <w:jc w:val="both"/>
        <w:rPr>
          <w:rFonts w:ascii="Palatino Linotype" w:eastAsia="Tahoma" w:hAnsi="Palatino Linotype"/>
          <w:sz w:val="22"/>
          <w:szCs w:val="22"/>
        </w:rPr>
      </w:pPr>
      <w:r w:rsidRPr="00DB7D3F">
        <w:rPr>
          <w:rFonts w:ascii="Palatino Linotype" w:eastAsia="Tahoma" w:hAnsi="Palatino Linotype"/>
          <w:sz w:val="22"/>
          <w:szCs w:val="22"/>
        </w:rPr>
        <w:t xml:space="preserve">(iv) the notional turnover of stock futures decreased by 11.3 per cent to </w:t>
      </w:r>
      <w:r w:rsidRPr="00DB7D3F">
        <w:rPr>
          <w:rFonts w:ascii="Times New Roman" w:eastAsia="Tahoma" w:hAnsi="Times New Roman"/>
          <w:sz w:val="22"/>
          <w:szCs w:val="22"/>
        </w:rPr>
        <w:t>₹</w:t>
      </w:r>
      <w:r w:rsidRPr="00DB7D3F">
        <w:rPr>
          <w:rFonts w:ascii="Palatino Linotype" w:eastAsia="Tahoma" w:hAnsi="Palatino Linotype"/>
          <w:sz w:val="22"/>
          <w:szCs w:val="22"/>
        </w:rPr>
        <w:t xml:space="preserve">15.7 lakh crore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As at end of July 2021, the open interest in terms of value at NSE stood at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5,97,327 crore compared to </w:t>
      </w:r>
      <w:r w:rsidRPr="00DB7D3F">
        <w:rPr>
          <w:rFonts w:ascii="Tahoma" w:eastAsia="Palatino Linotype" w:hAnsi="Tahoma" w:cs="Tahoma"/>
          <w:sz w:val="22"/>
          <w:szCs w:val="22"/>
        </w:rPr>
        <w:t>₹</w:t>
      </w:r>
      <w:r w:rsidRPr="00DB7D3F">
        <w:rPr>
          <w:rFonts w:ascii="Palatino Linotype" w:eastAsia="Palatino Linotype" w:hAnsi="Palatino Linotype" w:cs="Palatino Linotype"/>
          <w:sz w:val="22"/>
          <w:szCs w:val="22"/>
        </w:rPr>
        <w:t>7,02,714 crore in June 2021.</w:t>
      </w:r>
    </w:p>
    <w:p w:rsidR="00DB7D3F" w:rsidRPr="00DB7D3F" w:rsidRDefault="00DB7D3F" w:rsidP="00DB7D3F">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rsidR="00DB7D3F" w:rsidRPr="00DB7D3F" w:rsidRDefault="00DB7D3F" w:rsidP="00DB7D3F">
      <w:pPr>
        <w:pBdr>
          <w:top w:val="nil"/>
          <w:left w:val="nil"/>
          <w:bottom w:val="nil"/>
          <w:right w:val="nil"/>
          <w:between w:val="nil"/>
        </w:pBd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     Figure 6: Trends of Average Daily Notional Turnover at BSE and NSE (</w:t>
      </w:r>
      <w:r w:rsidRPr="00DB7D3F">
        <w:rPr>
          <w:rFonts w:ascii="Arial" w:eastAsia="Palatino Linotype" w:hAnsi="Arial" w:cs="Arial"/>
          <w:b/>
          <w:sz w:val="20"/>
          <w:szCs w:val="22"/>
        </w:rPr>
        <w:t>₹</w:t>
      </w:r>
      <w:r w:rsidRPr="00DB7D3F">
        <w:rPr>
          <w:rFonts w:ascii="Palatino Linotype" w:eastAsia="Palatino Linotype" w:hAnsi="Palatino Linotype" w:cs="Palatino Linotype"/>
          <w:b/>
          <w:sz w:val="22"/>
          <w:szCs w:val="22"/>
        </w:rPr>
        <w:t xml:space="preserve"> crore)</w:t>
      </w:r>
    </w:p>
    <w:p w:rsidR="00DB7D3F" w:rsidRPr="00DB7D3F" w:rsidRDefault="00DB7D3F" w:rsidP="00DB7D3F">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DB7D3F">
        <w:rPr>
          <w:noProof/>
          <w:lang w:val="en-IN" w:eastAsia="en-IN" w:bidi="hi-IN"/>
        </w:rPr>
        <w:drawing>
          <wp:inline distT="0" distB="0" distL="0" distR="0" wp14:anchorId="478D65A2" wp14:editId="1680DDFB">
            <wp:extent cx="5305425" cy="2943225"/>
            <wp:effectExtent l="0" t="0" r="9525" b="9525"/>
            <wp:docPr id="20" name="Chart 2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Note: ADNT implies Average Daily Notional Turnover</w:t>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and NSE</w:t>
      </w:r>
    </w:p>
    <w:p w:rsidR="00DB7D3F" w:rsidRPr="00DB7D3F" w:rsidRDefault="00DB7D3F" w:rsidP="00DB7D3F">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DB7D3F" w:rsidRPr="00DB7D3F" w:rsidRDefault="00DB7D3F" w:rsidP="00DB7D3F">
      <w:pPr>
        <w:pBdr>
          <w:top w:val="nil"/>
          <w:left w:val="nil"/>
          <w:bottom w:val="nil"/>
          <w:right w:val="nil"/>
          <w:between w:val="nil"/>
        </w:pBdr>
        <w:jc w:val="center"/>
        <w:rPr>
          <w:rFonts w:ascii="Palatino Linotype" w:eastAsia="Palatino Linotype" w:hAnsi="Palatino Linotype" w:cs="Palatino Linotype"/>
          <w:b/>
          <w:color w:val="000000" w:themeColor="text1"/>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color w:val="000000" w:themeColor="text1"/>
          <w:sz w:val="22"/>
          <w:szCs w:val="22"/>
        </w:rPr>
      </w:pPr>
      <w:r w:rsidRPr="00DB7D3F">
        <w:rPr>
          <w:rFonts w:ascii="Palatino Linotype" w:eastAsia="Palatino Linotype" w:hAnsi="Palatino Linotype" w:cs="Palatino Linotype"/>
          <w:color w:val="000000" w:themeColor="text1"/>
          <w:sz w:val="22"/>
          <w:szCs w:val="22"/>
        </w:rPr>
        <w:t>During July 2021, the percentage share of weekly options (BSE and NSE together) to the total index options notional turnover (BSE and NSE together) stood at 74.9 per cent compared to 75.0 per cent in June 2021. The percentage share of monthly options for both the exchanges to total index options notional turnover stood constant at 24.5 per cent in July 2021.</w:t>
      </w: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DB7D3F" w:rsidRPr="00DB7D3F" w:rsidRDefault="00DB7D3F" w:rsidP="00DB7D3F">
      <w:pPr>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Figure 7: Maturity-wise percentage Share of Total Index Options Turnover (per cent)</w:t>
      </w:r>
    </w:p>
    <w:p w:rsidR="00DB7D3F" w:rsidRPr="00DB7D3F" w:rsidRDefault="00DB7D3F" w:rsidP="00DB7D3F">
      <w:pPr>
        <w:spacing w:line="276" w:lineRule="auto"/>
        <w:jc w:val="center"/>
        <w:rPr>
          <w:rFonts w:ascii="Palatino Linotype" w:eastAsia="Palatino Linotype" w:hAnsi="Palatino Linotype" w:cs="Palatino Linotype"/>
          <w:b/>
          <w:sz w:val="22"/>
          <w:szCs w:val="22"/>
          <w:highlight w:val="yellow"/>
        </w:rPr>
      </w:pPr>
      <w:r w:rsidRPr="00DB7D3F">
        <w:rPr>
          <w:noProof/>
          <w:lang w:val="en-IN" w:eastAsia="en-IN" w:bidi="hi-IN"/>
        </w:rPr>
        <w:drawing>
          <wp:inline distT="0" distB="0" distL="0" distR="0" wp14:anchorId="68D0AFC3" wp14:editId="28F3B3EB">
            <wp:extent cx="5286375" cy="2743200"/>
            <wp:effectExtent l="0" t="0" r="9525" b="0"/>
            <wp:docPr id="28" name="Chart 28">
              <a:extLst xmlns:a="http://schemas.openxmlformats.org/drawingml/2006/main">
                <a:ext uri="{FF2B5EF4-FFF2-40B4-BE49-F238E27FC236}">
                  <a16:creationId xmlns:a16="http://schemas.microsoft.com/office/drawing/2014/main" id="{00000000-0008-0000-0F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and NSE</w:t>
      </w:r>
    </w:p>
    <w:p w:rsidR="00DB7D3F" w:rsidRPr="00DB7D3F" w:rsidRDefault="00DB7D3F" w:rsidP="00DB7D3F">
      <w:pPr>
        <w:spacing w:line="276" w:lineRule="auto"/>
        <w:rPr>
          <w:rFonts w:ascii="Palatino Linotype" w:eastAsia="Palatino Linotype" w:hAnsi="Palatino Linotype" w:cs="Palatino Linotype"/>
          <w:b/>
          <w:sz w:val="18"/>
          <w:szCs w:val="18"/>
        </w:rPr>
      </w:pPr>
    </w:p>
    <w:p w:rsidR="00DB7D3F" w:rsidRPr="00DB7D3F" w:rsidRDefault="00DB7D3F" w:rsidP="00DB7D3F">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Currency Derivatives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 monthly notional turnover of currency derivatives in India (NSE, BSE and MSEI together) stood at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18,94,123 crore as compared to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18,96,424 crore in June 2021, registering a decrease of 0.1 per cent.</w:t>
      </w: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DB7D3F" w:rsidRPr="00DB7D3F" w:rsidRDefault="00DB7D3F" w:rsidP="00DB7D3F">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Figure 8: Trends of Currency Derivatives at NSE, MSEI and BSE (</w:t>
      </w:r>
      <w:r w:rsidRPr="00DB7D3F">
        <w:rPr>
          <w:rFonts w:ascii="Arial" w:eastAsia="Palatino Linotype" w:hAnsi="Arial" w:cs="Arial"/>
          <w:b/>
          <w:sz w:val="20"/>
          <w:szCs w:val="22"/>
        </w:rPr>
        <w:t>₹</w:t>
      </w:r>
      <w:r w:rsidRPr="00DB7D3F">
        <w:rPr>
          <w:rFonts w:ascii="Palatino Linotype" w:eastAsia="Palatino Linotype" w:hAnsi="Palatino Linotype" w:cs="Palatino Linotype"/>
          <w:b/>
          <w:sz w:val="22"/>
          <w:szCs w:val="22"/>
        </w:rPr>
        <w:t xml:space="preserve"> crore)</w:t>
      </w:r>
    </w:p>
    <w:p w:rsidR="00DB7D3F" w:rsidRPr="00DB7D3F" w:rsidRDefault="00DB7D3F" w:rsidP="00DB7D3F">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DB7D3F">
        <w:rPr>
          <w:noProof/>
          <w:lang w:val="en-IN" w:eastAsia="en-IN" w:bidi="hi-IN"/>
        </w:rPr>
        <w:drawing>
          <wp:inline distT="0" distB="0" distL="0" distR="0" wp14:anchorId="2849FD50" wp14:editId="3987AFB8">
            <wp:extent cx="5286375" cy="2747963"/>
            <wp:effectExtent l="0" t="0" r="9525" b="14605"/>
            <wp:docPr id="29" name="Chart 2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7D3F" w:rsidRPr="00DB7D3F" w:rsidRDefault="00DB7D3F" w:rsidP="00DB7D3F">
      <w:pPr>
        <w:spacing w:line="276" w:lineRule="auto"/>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NSE and MSEI </w:t>
      </w:r>
    </w:p>
    <w:p w:rsidR="00DB7D3F" w:rsidRPr="00DB7D3F" w:rsidRDefault="00DB7D3F" w:rsidP="00DB7D3F">
      <w:pPr>
        <w:spacing w:line="276" w:lineRule="auto"/>
        <w:rPr>
          <w:rFonts w:ascii="Palatino Linotype" w:eastAsia="Palatino Linotype" w:hAnsi="Palatino Linotype" w:cs="Palatino Linotype"/>
          <w:b/>
          <w:sz w:val="18"/>
          <w:szCs w:val="18"/>
        </w:rPr>
      </w:pPr>
    </w:p>
    <w:p w:rsidR="00DB7D3F" w:rsidRPr="00DB7D3F" w:rsidRDefault="00DB7D3F" w:rsidP="00DB7D3F">
      <w:pPr>
        <w:spacing w:line="276" w:lineRule="auto"/>
        <w:rPr>
          <w:rFonts w:ascii="Palatino Linotype" w:eastAsia="Palatino Linotype" w:hAnsi="Palatino Linotype" w:cs="Palatino Linotype"/>
          <w:b/>
          <w:sz w:val="18"/>
          <w:szCs w:val="18"/>
        </w:rPr>
      </w:pPr>
    </w:p>
    <w:p w:rsidR="00DB7D3F" w:rsidRPr="00DB7D3F" w:rsidRDefault="00DB7D3F" w:rsidP="00DB7D3F">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Interest Rate Derivatives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the monthly notional turnover of interest rate derivatives at NSE decreased by 12.6 per cent to </w:t>
      </w:r>
      <w:r w:rsidRPr="00D0104F">
        <w:rPr>
          <w:rFonts w:ascii="Times New Roman" w:eastAsia="Palatino Linotype" w:hAnsi="Times New Roman"/>
          <w:sz w:val="22"/>
          <w:szCs w:val="22"/>
        </w:rPr>
        <w:t>₹</w:t>
      </w:r>
      <w:r w:rsidR="00D0104F" w:rsidRPr="00D0104F">
        <w:rPr>
          <w:rFonts w:ascii="Palatino Linotype" w:eastAsia="Palatino Linotype" w:hAnsi="Palatino Linotype" w:cs="Palatino Linotype"/>
          <w:sz w:val="22"/>
          <w:szCs w:val="22"/>
        </w:rPr>
        <w:t xml:space="preserve">2,141 </w:t>
      </w:r>
      <w:r w:rsidRPr="00D0104F">
        <w:rPr>
          <w:rFonts w:ascii="Palatino Linotype" w:eastAsia="Palatino Linotype" w:hAnsi="Palatino Linotype" w:cs="Palatino Linotype"/>
          <w:sz w:val="22"/>
          <w:szCs w:val="22"/>
        </w:rPr>
        <w:t>crore</w:t>
      </w:r>
      <w:r w:rsidRPr="00DB7D3F">
        <w:rPr>
          <w:rFonts w:ascii="Palatino Linotype" w:eastAsia="Palatino Linotype" w:hAnsi="Palatino Linotype" w:cs="Palatino Linotype"/>
          <w:sz w:val="22"/>
          <w:szCs w:val="22"/>
        </w:rPr>
        <w:t xml:space="preserve"> from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1,966 crore during June 2021.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The monthly notional turnover of interest rate futures at BSE decreased by 26.7 percent to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2,289 crore from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3,124 </w:t>
      </w:r>
      <w:r w:rsidRPr="00DB7D3F">
        <w:rPr>
          <w:rFonts w:ascii="Times New Roman" w:eastAsia="Palatino Linotype" w:hAnsi="Times New Roman"/>
          <w:sz w:val="22"/>
          <w:szCs w:val="22"/>
        </w:rPr>
        <w:t xml:space="preserve">crore </w:t>
      </w:r>
      <w:r w:rsidRPr="00DB7D3F">
        <w:rPr>
          <w:rFonts w:ascii="Palatino Linotype" w:eastAsia="Palatino Linotype" w:hAnsi="Palatino Linotype" w:cs="Palatino Linotype"/>
          <w:sz w:val="22"/>
          <w:szCs w:val="22"/>
        </w:rPr>
        <w:t xml:space="preserve">during the same period. </w:t>
      </w:r>
    </w:p>
    <w:p w:rsidR="00DB7D3F" w:rsidRPr="00DB7D3F" w:rsidRDefault="00DB7D3F" w:rsidP="00DB7D3F">
      <w:pPr>
        <w:rPr>
          <w:rFonts w:ascii="Palatino Linotype" w:eastAsia="Palatino Linotype" w:hAnsi="Palatino Linotype" w:cs="Palatino Linotype"/>
          <w:b/>
          <w:color w:val="2E74B5"/>
          <w:sz w:val="22"/>
          <w:szCs w:val="22"/>
          <w:highlight w:val="yellow"/>
        </w:rPr>
      </w:pPr>
    </w:p>
    <w:p w:rsidR="00DB7D3F" w:rsidRPr="00DB7D3F" w:rsidRDefault="00DB7D3F" w:rsidP="00DB7D3F">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 xml:space="preserve">Figure 9: Trends of Interest Rate </w:t>
      </w:r>
      <w:r w:rsidR="00991555">
        <w:rPr>
          <w:rFonts w:ascii="Palatino Linotype" w:eastAsia="Palatino Linotype" w:hAnsi="Palatino Linotype" w:cs="Palatino Linotype"/>
          <w:b/>
          <w:sz w:val="22"/>
          <w:szCs w:val="22"/>
        </w:rPr>
        <w:t>Derivatives</w:t>
      </w:r>
      <w:r w:rsidR="00991555" w:rsidRPr="00DB7D3F">
        <w:rPr>
          <w:rFonts w:ascii="Palatino Linotype" w:eastAsia="Palatino Linotype" w:hAnsi="Palatino Linotype" w:cs="Palatino Linotype"/>
          <w:b/>
          <w:sz w:val="22"/>
          <w:szCs w:val="22"/>
        </w:rPr>
        <w:t xml:space="preserve"> </w:t>
      </w:r>
      <w:r w:rsidRPr="00DB7D3F">
        <w:rPr>
          <w:rFonts w:ascii="Palatino Linotype" w:eastAsia="Palatino Linotype" w:hAnsi="Palatino Linotype" w:cs="Palatino Linotype"/>
          <w:b/>
          <w:sz w:val="22"/>
          <w:szCs w:val="22"/>
        </w:rPr>
        <w:t>at NSE and BSE</w:t>
      </w:r>
    </w:p>
    <w:p w:rsidR="00DB7D3F" w:rsidRPr="00DB7D3F" w:rsidRDefault="00DB7D3F" w:rsidP="00DB7D3F">
      <w:pPr>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w:t>
      </w:r>
      <w:r w:rsidR="00D0104F">
        <w:rPr>
          <w:noProof/>
          <w:lang w:val="en-IN" w:eastAsia="en-IN" w:bidi="hi-IN"/>
        </w:rPr>
        <w:drawing>
          <wp:inline distT="0" distB="0" distL="0" distR="0" wp14:anchorId="69821F94" wp14:editId="5307966F">
            <wp:extent cx="5201152" cy="2563980"/>
            <wp:effectExtent l="0" t="0" r="0" b="8255"/>
            <wp:docPr id="6" name="Chart 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7D3F" w:rsidRPr="00DB7D3F" w:rsidRDefault="00DB7D3F" w:rsidP="00DB7D3F">
      <w:pPr>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and NSE </w:t>
      </w:r>
    </w:p>
    <w:p w:rsidR="00DB7D3F" w:rsidRPr="00DB7D3F" w:rsidRDefault="00DB7D3F" w:rsidP="00DB7D3F">
      <w:pPr>
        <w:rPr>
          <w:rFonts w:ascii="Palatino Linotype" w:eastAsia="Palatino Linotype" w:hAnsi="Palatino Linotype" w:cs="Palatino Linotype"/>
          <w:b/>
          <w:sz w:val="18"/>
          <w:szCs w:val="18"/>
        </w:rPr>
      </w:pPr>
    </w:p>
    <w:p w:rsidR="00DB7D3F" w:rsidRPr="00DB7D3F" w:rsidRDefault="00DB7D3F" w:rsidP="00DB7D3F">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Trading in Corporate Debt Market</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BSE registered 6,745 trades of corporate debt with traded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48,405 crore, as compared to 8,007 trades with traded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61,391 crore in the previous month.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At NSE, 5,099 trades were recorded with a traded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66,672 crore in July 2021 as compared to 5,665 trades recorded with a traded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91,924 crore in June 2021. </w:t>
      </w:r>
    </w:p>
    <w:p w:rsidR="00DB7D3F" w:rsidRPr="00DB7D3F" w:rsidRDefault="00DB7D3F" w:rsidP="00DB7D3F">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Figure 10: Trends in Reported Turnover of Corporate Bonds (</w:t>
      </w:r>
      <w:r w:rsidRPr="00DB7D3F">
        <w:rPr>
          <w:rFonts w:ascii="Arial" w:eastAsia="Palatino Linotype" w:hAnsi="Arial" w:cs="Arial"/>
          <w:b/>
          <w:sz w:val="20"/>
          <w:szCs w:val="22"/>
        </w:rPr>
        <w:t>₹</w:t>
      </w:r>
      <w:r w:rsidRPr="00DB7D3F">
        <w:rPr>
          <w:rFonts w:ascii="Palatino Linotype" w:eastAsia="Palatino Linotype" w:hAnsi="Palatino Linotype" w:cs="Palatino Linotype"/>
          <w:b/>
          <w:sz w:val="22"/>
          <w:szCs w:val="22"/>
        </w:rPr>
        <w:t xml:space="preserve"> crore)</w:t>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DB7D3F">
        <w:rPr>
          <w:noProof/>
          <w:lang w:val="en-IN" w:eastAsia="en-IN" w:bidi="hi-IN"/>
        </w:rPr>
        <w:drawing>
          <wp:inline distT="0" distB="0" distL="0" distR="0" wp14:anchorId="3AC1C751" wp14:editId="37083396">
            <wp:extent cx="4572000" cy="2838450"/>
            <wp:effectExtent l="0" t="0" r="0" b="0"/>
            <wp:docPr id="31" name="Chart 3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B7D3F" w:rsidRPr="00DB7D3F" w:rsidRDefault="00DB7D3F" w:rsidP="00DB7D3F">
      <w:pPr>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BSE and NSE </w:t>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DB7D3F" w:rsidRPr="00DB7D3F" w:rsidRDefault="00DB7D3F" w:rsidP="00DB7D3F">
      <w:pPr>
        <w:widowControl w:val="0"/>
        <w:spacing w:line="276" w:lineRule="auto"/>
        <w:ind w:left="720"/>
        <w:contextualSpacing/>
        <w:jc w:val="both"/>
        <w:rPr>
          <w:rFonts w:ascii="Palatino Linotype" w:hAnsi="Palatino Linotype"/>
          <w:b/>
          <w:color w:val="2E74B5"/>
          <w:sz w:val="22"/>
          <w:szCs w:val="22"/>
        </w:rPr>
      </w:pPr>
    </w:p>
    <w:p w:rsidR="00DB7D3F" w:rsidRPr="00DB7D3F" w:rsidRDefault="00DB7D3F" w:rsidP="00DB7D3F">
      <w:pPr>
        <w:widowControl w:val="0"/>
        <w:spacing w:line="276" w:lineRule="auto"/>
        <w:ind w:left="720"/>
        <w:contextualSpacing/>
        <w:jc w:val="both"/>
        <w:rPr>
          <w:rFonts w:ascii="Palatino Linotype" w:hAnsi="Palatino Linotype"/>
          <w:b/>
          <w:color w:val="2E74B5"/>
          <w:sz w:val="22"/>
          <w:szCs w:val="22"/>
        </w:rPr>
      </w:pPr>
    </w:p>
    <w:p w:rsidR="00DB7D3F" w:rsidRPr="00DB7D3F" w:rsidRDefault="00DB7D3F" w:rsidP="00DB7D3F">
      <w:pPr>
        <w:widowControl w:val="0"/>
        <w:spacing w:line="276" w:lineRule="auto"/>
        <w:ind w:left="720"/>
        <w:contextualSpacing/>
        <w:jc w:val="both"/>
        <w:rPr>
          <w:rFonts w:ascii="Palatino Linotype" w:hAnsi="Palatino Linotype"/>
          <w:b/>
          <w:color w:val="2E74B5"/>
          <w:sz w:val="22"/>
          <w:szCs w:val="22"/>
        </w:rPr>
      </w:pPr>
    </w:p>
    <w:p w:rsidR="00DB7D3F" w:rsidRDefault="00DB7D3F" w:rsidP="00DB7D3F">
      <w:pPr>
        <w:widowControl w:val="0"/>
        <w:spacing w:line="276" w:lineRule="auto"/>
        <w:ind w:left="720"/>
        <w:contextualSpacing/>
        <w:jc w:val="both"/>
        <w:rPr>
          <w:rFonts w:ascii="Palatino Linotype" w:hAnsi="Palatino Linotype"/>
          <w:b/>
          <w:color w:val="2E74B5"/>
          <w:sz w:val="22"/>
          <w:szCs w:val="22"/>
        </w:rPr>
      </w:pPr>
    </w:p>
    <w:p w:rsidR="00D0104F" w:rsidRPr="00DB7D3F" w:rsidRDefault="00D0104F" w:rsidP="00DB7D3F">
      <w:pPr>
        <w:widowControl w:val="0"/>
        <w:spacing w:line="276" w:lineRule="auto"/>
        <w:ind w:left="720"/>
        <w:contextualSpacing/>
        <w:jc w:val="both"/>
        <w:rPr>
          <w:rFonts w:ascii="Palatino Linotype" w:hAnsi="Palatino Linotype"/>
          <w:b/>
          <w:color w:val="2E74B5"/>
          <w:sz w:val="22"/>
          <w:szCs w:val="22"/>
        </w:rPr>
      </w:pPr>
    </w:p>
    <w:p w:rsidR="00DB7D3F" w:rsidRPr="00DB7D3F" w:rsidRDefault="00DB7D3F" w:rsidP="00DB7D3F">
      <w:pPr>
        <w:widowControl w:val="0"/>
        <w:spacing w:line="276" w:lineRule="auto"/>
        <w:ind w:left="720"/>
        <w:contextualSpacing/>
        <w:jc w:val="both"/>
        <w:rPr>
          <w:rFonts w:ascii="Palatino Linotype" w:hAnsi="Palatino Linotype"/>
          <w:b/>
          <w:color w:val="2E74B5"/>
          <w:sz w:val="22"/>
          <w:szCs w:val="22"/>
        </w:rPr>
      </w:pPr>
    </w:p>
    <w:p w:rsidR="00DB7D3F" w:rsidRPr="00DB7D3F" w:rsidRDefault="00DB7D3F" w:rsidP="00DB7D3F">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Trends in Institutional Investments</w:t>
      </w:r>
    </w:p>
    <w:p w:rsidR="00DB7D3F" w:rsidRPr="00DB7D3F" w:rsidRDefault="00DB7D3F" w:rsidP="00DB7D3F">
      <w:pPr>
        <w:widowControl w:val="0"/>
        <w:spacing w:line="276" w:lineRule="auto"/>
        <w:ind w:left="720"/>
        <w:jc w:val="both"/>
        <w:rPr>
          <w:rFonts w:ascii="Palatino Linotype" w:eastAsia="Palatino Linotype" w:hAnsi="Palatino Linotype" w:cs="Palatino Linotype"/>
          <w:b/>
          <w:sz w:val="22"/>
          <w:szCs w:val="22"/>
          <w:highlight w:val="yellow"/>
        </w:rPr>
      </w:pPr>
    </w:p>
    <w:p w:rsidR="00DB7D3F" w:rsidRPr="00DB7D3F" w:rsidRDefault="00DB7D3F" w:rsidP="00DB7D3F">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Trends in Fund Mobilisation/Transactions by Mutual Funds</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Times New Roman" w:hAnsi="Palatino Linotype" w:cs="Tahoma"/>
          <w:color w:val="000000" w:themeColor="text1"/>
          <w:sz w:val="22"/>
          <w:szCs w:val="22"/>
          <w:lang w:val="en-IN" w:eastAsia="en-IN"/>
        </w:rPr>
        <w:t> </w:t>
      </w:r>
      <w:r w:rsidRPr="00DB7D3F">
        <w:rPr>
          <w:rFonts w:ascii="Palatino Linotype" w:eastAsia="Times New Roman" w:hAnsi="Palatino Linotype" w:cs="Tahoma"/>
          <w:color w:val="000000" w:themeColor="text1"/>
          <w:sz w:val="22"/>
          <w:szCs w:val="22"/>
          <w:lang w:eastAsia="en-IN"/>
        </w:rPr>
        <w:t xml:space="preserve">As at </w:t>
      </w:r>
      <w:r w:rsidRPr="00DB7D3F">
        <w:rPr>
          <w:rFonts w:ascii="Palatino Linotype" w:eastAsia="Palatino Linotype" w:hAnsi="Palatino Linotype" w:cs="Palatino Linotype"/>
          <w:color w:val="000000" w:themeColor="text1"/>
          <w:sz w:val="22"/>
          <w:szCs w:val="22"/>
        </w:rPr>
        <w:t>end of July 2021, there were a total of 1,510 mutual fund schemes in the market, of which 1</w:t>
      </w:r>
      <w:r w:rsidR="00C81778">
        <w:rPr>
          <w:rFonts w:ascii="Palatino Linotype" w:eastAsia="Palatino Linotype" w:hAnsi="Palatino Linotype" w:cs="Palatino Linotype"/>
          <w:color w:val="000000" w:themeColor="text1"/>
          <w:sz w:val="22"/>
          <w:szCs w:val="22"/>
        </w:rPr>
        <w:t>,</w:t>
      </w:r>
      <w:r w:rsidRPr="00DB7D3F">
        <w:rPr>
          <w:rFonts w:ascii="Palatino Linotype" w:eastAsia="Palatino Linotype" w:hAnsi="Palatino Linotype" w:cs="Palatino Linotype"/>
          <w:color w:val="000000" w:themeColor="text1"/>
          <w:sz w:val="22"/>
          <w:szCs w:val="22"/>
        </w:rPr>
        <w:t>043 were open-ended schemes, 446 were close-ended schemes and 21 were interval schemes</w:t>
      </w:r>
      <w:r w:rsidRPr="00DB7D3F">
        <w:rPr>
          <w:rFonts w:ascii="Palatino Linotype" w:eastAsia="Palatino Linotype" w:hAnsi="Palatino Linotype" w:cs="Palatino Linotype"/>
          <w:sz w:val="22"/>
          <w:szCs w:val="22"/>
        </w:rPr>
        <w:t xml:space="preserv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The mutual fund industry saw a net inflow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1,14,255 crore during July 2021, against a net inflow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15,320 crore during June 2021.</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B7D3F">
        <w:rPr>
          <w:rFonts w:ascii="Palatino Linotype" w:eastAsia="Palatino Linotype" w:hAnsi="Palatino Linotype" w:cs="Palatino Linotype"/>
          <w:color w:val="000000" w:themeColor="text1"/>
          <w:sz w:val="22"/>
          <w:szCs w:val="22"/>
        </w:rPr>
        <w:t xml:space="preserve">The funds mobilised by open-ended schemes during July 2021 was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7,93,389 crore against redemption/repurchase of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6,67,468 crore, resulting in a net inflow of </w:t>
      </w:r>
      <w:r w:rsidRPr="00DB7D3F">
        <w:rPr>
          <w:rFonts w:ascii="Times New Roman" w:eastAsia="Palatino Linotype" w:hAnsi="Times New Roman"/>
          <w:color w:val="000000" w:themeColor="text1"/>
          <w:sz w:val="22"/>
          <w:szCs w:val="22"/>
        </w:rPr>
        <w:t>₹1,</w:t>
      </w:r>
      <w:r w:rsidRPr="00DB7D3F">
        <w:rPr>
          <w:rFonts w:ascii="Palatino Linotype" w:eastAsia="Palatino Linotype" w:hAnsi="Palatino Linotype" w:cs="Palatino Linotype"/>
          <w:color w:val="000000" w:themeColor="text1"/>
          <w:sz w:val="22"/>
          <w:szCs w:val="22"/>
        </w:rPr>
        <w:t xml:space="preserve">25,921 crore </w:t>
      </w:r>
      <w:r w:rsidR="00A213F3">
        <w:rPr>
          <w:rFonts w:ascii="Palatino Linotype" w:eastAsia="Palatino Linotype" w:hAnsi="Palatino Linotype" w:cs="Palatino Linotype"/>
          <w:color w:val="000000" w:themeColor="text1"/>
          <w:sz w:val="22"/>
          <w:szCs w:val="22"/>
        </w:rPr>
        <w:t>to</w:t>
      </w:r>
      <w:r w:rsidR="00A213F3" w:rsidRPr="00DB7D3F">
        <w:rPr>
          <w:rFonts w:ascii="Palatino Linotype" w:eastAsia="Palatino Linotype" w:hAnsi="Palatino Linotype" w:cs="Palatino Linotype"/>
          <w:color w:val="000000" w:themeColor="text1"/>
          <w:sz w:val="22"/>
          <w:szCs w:val="22"/>
        </w:rPr>
        <w:t xml:space="preserve"> </w:t>
      </w:r>
      <w:r w:rsidRPr="00DB7D3F">
        <w:rPr>
          <w:rFonts w:ascii="Palatino Linotype" w:eastAsia="Palatino Linotype" w:hAnsi="Palatino Linotype" w:cs="Palatino Linotype"/>
          <w:color w:val="000000" w:themeColor="text1"/>
          <w:sz w:val="22"/>
          <w:szCs w:val="22"/>
        </w:rPr>
        <w:t xml:space="preserve">open-ended schemes. Of the total funds mobilised by the open-ended schemes during the month under consideration,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7,04,824 crore was mobilised through income/debt oriented schemes,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42,101 crore through growth/equity oriented schemes,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30,900 crore through hybrid schemes,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293 crore through solution oriented schemes and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15,271 crore through other schemes.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B7D3F">
        <w:rPr>
          <w:rFonts w:ascii="Palatino Linotype" w:eastAsia="Palatino Linotype" w:hAnsi="Palatino Linotype" w:cs="Palatino Linotype"/>
          <w:color w:val="000000" w:themeColor="text1"/>
          <w:sz w:val="22"/>
          <w:szCs w:val="22"/>
        </w:rPr>
        <w:t xml:space="preserve">During July 2021,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10,065 crore were matured/ repurchased</w:t>
      </w:r>
      <w:r w:rsidRPr="00DB7D3F">
        <w:rPr>
          <w:rFonts w:ascii="Palatino Linotype" w:eastAsia="Palatino Linotype" w:hAnsi="Palatino Linotype" w:cs="Palatino Linotype"/>
          <w:color w:val="000000" w:themeColor="text1"/>
          <w:sz w:val="22"/>
          <w:szCs w:val="22"/>
          <w:vertAlign w:val="superscript"/>
        </w:rPr>
        <w:footnoteReference w:id="1"/>
      </w:r>
      <w:r w:rsidRPr="00DB7D3F">
        <w:rPr>
          <w:rFonts w:ascii="Palatino Linotype" w:eastAsia="Palatino Linotype" w:hAnsi="Palatino Linotype" w:cs="Palatino Linotype"/>
          <w:color w:val="000000" w:themeColor="text1"/>
          <w:sz w:val="22"/>
          <w:szCs w:val="22"/>
        </w:rPr>
        <w:t xml:space="preserve"> by close-ended schemes.  In the interval schemes </w:t>
      </w:r>
      <w:r w:rsidR="00A213F3">
        <w:rPr>
          <w:rFonts w:ascii="Palatino Linotype" w:eastAsia="Palatino Linotype" w:hAnsi="Palatino Linotype" w:cs="Palatino Linotype"/>
          <w:color w:val="000000" w:themeColor="text1"/>
          <w:sz w:val="22"/>
          <w:szCs w:val="22"/>
        </w:rPr>
        <w:t xml:space="preserve">amount </w:t>
      </w:r>
      <w:r w:rsidRPr="00DB7D3F">
        <w:rPr>
          <w:rFonts w:ascii="Palatino Linotype" w:eastAsia="Palatino Linotype" w:hAnsi="Palatino Linotype" w:cs="Palatino Linotype"/>
          <w:color w:val="000000" w:themeColor="text1"/>
          <w:sz w:val="22"/>
          <w:szCs w:val="22"/>
        </w:rPr>
        <w:t xml:space="preserve">worth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Tahoma"/>
          <w:color w:val="000000" w:themeColor="text1"/>
          <w:sz w:val="22"/>
          <w:szCs w:val="22"/>
        </w:rPr>
        <w:t>1.0</w:t>
      </w:r>
      <w:r w:rsidRPr="00DB7D3F">
        <w:rPr>
          <w:rFonts w:ascii="Palatino Linotype" w:eastAsia="Palatino Linotype" w:hAnsi="Palatino Linotype" w:cs="Palatino Linotype"/>
          <w:color w:val="000000" w:themeColor="text1"/>
          <w:sz w:val="22"/>
          <w:szCs w:val="22"/>
        </w:rPr>
        <w:t xml:space="preserve"> crore were matured/redeemed during the period.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B7D3F">
        <w:rPr>
          <w:rFonts w:ascii="Palatino Linotype" w:eastAsia="Palatino Linotype" w:hAnsi="Palatino Linotype" w:cs="Palatino Linotype"/>
          <w:color w:val="000000" w:themeColor="text1"/>
          <w:sz w:val="22"/>
          <w:szCs w:val="22"/>
        </w:rPr>
        <w:t xml:space="preserve">The net assets under management of mutual funds stood at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35.31 lakh crore as at the end of July 2021, an increase of 4.9 per cent from </w:t>
      </w:r>
      <w:r w:rsidRPr="006659D3">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33.67 </w:t>
      </w:r>
      <w:r w:rsidRPr="00D0104F">
        <w:rPr>
          <w:rFonts w:ascii="Palatino Linotype" w:eastAsia="Palatino Linotype" w:hAnsi="Palatino Linotype" w:cs="Palatino Linotype"/>
          <w:color w:val="000000" w:themeColor="text1"/>
          <w:sz w:val="22"/>
          <w:szCs w:val="22"/>
        </w:rPr>
        <w:t>lakh crore as at the end of June 2021</w:t>
      </w:r>
      <w:r w:rsidRPr="00DB7D3F">
        <w:rPr>
          <w:rFonts w:ascii="Palatino Linotype" w:eastAsia="Palatino Linotype" w:hAnsi="Palatino Linotype" w:cs="Palatino Linotype"/>
          <w:color w:val="000000" w:themeColor="text1"/>
          <w:sz w:val="22"/>
          <w:szCs w:val="22"/>
        </w:rPr>
        <w:t xml:space="preserve">.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In the secondary market transactions, during July 2021, mutual funds deployed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21,502 crore in equity schemes and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15,621 crore in debt schemes. </w:t>
      </w:r>
    </w:p>
    <w:p w:rsidR="00DB7D3F" w:rsidRPr="00DB7D3F" w:rsidRDefault="00DB7D3F" w:rsidP="00DB7D3F">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Figure 11: Trends in Mutual Funds Transactions in Secondary Market (</w:t>
      </w:r>
      <w:r w:rsidRPr="00DB7D3F">
        <w:rPr>
          <w:rFonts w:ascii="Arial" w:eastAsia="Palatino Linotype" w:hAnsi="Arial" w:cs="Arial"/>
          <w:b/>
          <w:sz w:val="20"/>
          <w:szCs w:val="22"/>
        </w:rPr>
        <w:t>₹</w:t>
      </w:r>
      <w:r w:rsidRPr="00DB7D3F">
        <w:rPr>
          <w:rFonts w:ascii="Palatino Linotype" w:eastAsia="Palatino Linotype" w:hAnsi="Palatino Linotype" w:cs="Palatino Linotype"/>
          <w:b/>
          <w:sz w:val="22"/>
          <w:szCs w:val="22"/>
        </w:rPr>
        <w:t xml:space="preserve"> crore)</w:t>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DB7D3F">
        <w:rPr>
          <w:noProof/>
          <w:lang w:val="en-IN" w:eastAsia="en-IN" w:bidi="hi-IN"/>
        </w:rPr>
        <w:drawing>
          <wp:inline distT="0" distB="0" distL="0" distR="0" wp14:anchorId="50AFCE11" wp14:editId="03815472">
            <wp:extent cx="5715000" cy="2819400"/>
            <wp:effectExtent l="0" t="0" r="0" b="0"/>
            <wp:docPr id="35" name="Chart 3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DB7D3F" w:rsidRPr="00DB7D3F" w:rsidRDefault="00DB7D3F" w:rsidP="00DB7D3F">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DB7D3F">
        <w:rPr>
          <w:rFonts w:ascii="Palatino Linotype" w:eastAsia="Palatino Linotype" w:hAnsi="Palatino Linotype" w:cs="Palatino Linotype"/>
          <w:b/>
          <w:sz w:val="22"/>
          <w:szCs w:val="22"/>
        </w:rPr>
        <w:t>Trends in Investments by the Foreign Portfolio Investors (FPIs)</w:t>
      </w:r>
    </w:p>
    <w:p w:rsidR="00DB7D3F" w:rsidRPr="00DB7D3F" w:rsidRDefault="00DB7D3F" w:rsidP="00DB7D3F">
      <w:pPr>
        <w:widowControl w:val="0"/>
        <w:tabs>
          <w:tab w:val="left" w:pos="0"/>
        </w:tabs>
        <w:spacing w:line="276" w:lineRule="auto"/>
        <w:ind w:left="360"/>
        <w:jc w:val="both"/>
        <w:rPr>
          <w:rFonts w:ascii="Palatino Linotype" w:eastAsia="Palatino Linotype" w:hAnsi="Palatino Linotype" w:cs="Palatino Linotype"/>
          <w:b/>
          <w:sz w:val="22"/>
          <w:szCs w:val="22"/>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During July 2021, FPIs withdrew a total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7,410 crore from the Indian securities market compared to an investment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12,974 crore in June 2021. During July 2021, FPIs liquidated </w:t>
      </w:r>
      <w:r w:rsidRPr="00DB7D3F">
        <w:rPr>
          <w:rFonts w:ascii="Times New Roman" w:eastAsia="Palatino Linotype" w:hAnsi="Times New Roman"/>
          <w:sz w:val="22"/>
          <w:szCs w:val="22"/>
        </w:rPr>
        <w:lastRenderedPageBreak/>
        <w:t>₹11</w:t>
      </w:r>
      <w:r w:rsidRPr="00DB7D3F">
        <w:rPr>
          <w:rFonts w:ascii="Palatino Linotype" w:eastAsia="Palatino Linotype" w:hAnsi="Palatino Linotype" w:cs="Palatino Linotype"/>
          <w:sz w:val="22"/>
          <w:szCs w:val="22"/>
        </w:rPr>
        <w:t xml:space="preserve">,308 crore from equity and </w:t>
      </w:r>
      <w:r w:rsidRPr="00DB7D3F">
        <w:rPr>
          <w:rFonts w:ascii="Arial" w:eastAsia="Palatino Linotype" w:hAnsi="Arial" w:cs="Arial"/>
          <w:b/>
          <w:sz w:val="20"/>
          <w:szCs w:val="22"/>
        </w:rPr>
        <w:t>₹</w:t>
      </w:r>
      <w:r w:rsidRPr="00DB7D3F">
        <w:rPr>
          <w:rFonts w:ascii="Palatino Linotype" w:eastAsia="Palatino Linotype" w:hAnsi="Palatino Linotype" w:cs="Palatino Linotype"/>
          <w:sz w:val="22"/>
          <w:szCs w:val="22"/>
        </w:rPr>
        <w:t xml:space="preserve">782 crore from debt securities.  FPIs liquidated </w:t>
      </w:r>
      <w:r w:rsidRPr="00DB7D3F">
        <w:rPr>
          <w:rFonts w:ascii="Arial" w:eastAsia="Palatino Linotype" w:hAnsi="Arial" w:cs="Arial"/>
          <w:b/>
          <w:sz w:val="20"/>
          <w:szCs w:val="22"/>
        </w:rPr>
        <w:t>₹</w:t>
      </w:r>
      <w:r w:rsidRPr="00DB7D3F">
        <w:rPr>
          <w:rFonts w:ascii="Palatino Linotype" w:eastAsia="Palatino Linotype" w:hAnsi="Palatino Linotype" w:cs="Palatino Linotype"/>
          <w:sz w:val="22"/>
          <w:szCs w:val="22"/>
        </w:rPr>
        <w:t xml:space="preserve">138 crore </w:t>
      </w:r>
      <w:r w:rsidR="006659D3">
        <w:rPr>
          <w:rFonts w:ascii="Palatino Linotype" w:eastAsia="Palatino Linotype" w:hAnsi="Palatino Linotype" w:cs="Palatino Linotype"/>
          <w:sz w:val="22"/>
          <w:szCs w:val="22"/>
        </w:rPr>
        <w:t xml:space="preserve">from </w:t>
      </w:r>
      <w:r w:rsidRPr="00DB7D3F">
        <w:rPr>
          <w:rFonts w:ascii="Palatino Linotype" w:eastAsia="Palatino Linotype" w:hAnsi="Palatino Linotype" w:cs="Palatino Linotype"/>
          <w:sz w:val="22"/>
          <w:szCs w:val="22"/>
        </w:rPr>
        <w:t xml:space="preserve">hybrid securities </w:t>
      </w:r>
      <w:r w:rsidR="006659D3">
        <w:rPr>
          <w:rFonts w:ascii="Palatino Linotype" w:eastAsia="Palatino Linotype" w:hAnsi="Palatino Linotype" w:cs="Palatino Linotype"/>
          <w:sz w:val="22"/>
          <w:szCs w:val="22"/>
        </w:rPr>
        <w:t xml:space="preserve">and </w:t>
      </w:r>
      <w:r w:rsidR="006659D3" w:rsidRPr="00DB7D3F">
        <w:rPr>
          <w:rFonts w:ascii="Palatino Linotype" w:eastAsia="Palatino Linotype" w:hAnsi="Palatino Linotype" w:cs="Palatino Linotype"/>
          <w:sz w:val="22"/>
          <w:szCs w:val="22"/>
        </w:rPr>
        <w:t xml:space="preserve"> </w:t>
      </w:r>
      <w:r w:rsidRPr="00DB7D3F">
        <w:rPr>
          <w:rFonts w:ascii="Palatino Linotype" w:eastAsia="Palatino Linotype" w:hAnsi="Palatino Linotype" w:cs="Palatino Linotype"/>
          <w:sz w:val="22"/>
          <w:szCs w:val="22"/>
        </w:rPr>
        <w:t xml:space="preserve">invested </w:t>
      </w:r>
      <w:r w:rsidRPr="00DB7D3F">
        <w:rPr>
          <w:rFonts w:ascii="Arial" w:eastAsia="Palatino Linotype" w:hAnsi="Arial" w:cs="Arial"/>
          <w:b/>
          <w:sz w:val="20"/>
          <w:szCs w:val="22"/>
        </w:rPr>
        <w:t>₹</w:t>
      </w:r>
      <w:r w:rsidRPr="00DB7D3F">
        <w:rPr>
          <w:rFonts w:ascii="Palatino Linotype" w:eastAsia="Palatino Linotype" w:hAnsi="Palatino Linotype" w:cs="Palatino Linotype"/>
          <w:sz w:val="22"/>
          <w:szCs w:val="22"/>
        </w:rPr>
        <w:t xml:space="preserve">4,818 crore in debt-voluntary retention route during July 2021. </w:t>
      </w: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DB7D3F">
        <w:rPr>
          <w:rFonts w:ascii="Palatino Linotype" w:eastAsia="Palatino Linotype" w:hAnsi="Palatino Linotype" w:cs="Palatino Linotype"/>
          <w:sz w:val="22"/>
          <w:szCs w:val="22"/>
        </w:rPr>
        <w:t xml:space="preserve">The </w:t>
      </w:r>
      <w:r w:rsidRPr="00DB7D3F">
        <w:rPr>
          <w:rFonts w:ascii="Palatino Linotype" w:eastAsia="Palatino Linotype" w:hAnsi="Palatino Linotype" w:cs="Palatino Linotype"/>
          <w:color w:val="000000" w:themeColor="text1"/>
          <w:sz w:val="22"/>
          <w:szCs w:val="22"/>
        </w:rPr>
        <w:t xml:space="preserve">assets of FPIs in India, as reported by custodians, as at the end of July 2021 was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48,36,007 crore, out of which the notional value of offshore derivative instruments (ODIs) (including ODIs on derivatives) was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1,01,798 crore which is 2.1 per cent of total assets of FPIs.  </w:t>
      </w:r>
    </w:p>
    <w:p w:rsidR="00DB7D3F" w:rsidRPr="00DB7D3F" w:rsidRDefault="00DB7D3F" w:rsidP="00DB7D3F">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DB7D3F" w:rsidRPr="00DB7D3F" w:rsidRDefault="00DB7D3F" w:rsidP="00DB7D3F">
      <w:pPr>
        <w:pBdr>
          <w:top w:val="nil"/>
          <w:left w:val="nil"/>
          <w:bottom w:val="nil"/>
          <w:right w:val="nil"/>
          <w:between w:val="nil"/>
        </w:pBdr>
        <w:spacing w:line="276" w:lineRule="auto"/>
        <w:ind w:left="720"/>
        <w:rPr>
          <w:rFonts w:ascii="Palatino Linotype" w:eastAsia="Palatino Linotype" w:hAnsi="Palatino Linotype" w:cs="Palatino Linotype"/>
          <w:b/>
          <w:sz w:val="22"/>
          <w:szCs w:val="22"/>
          <w:highlight w:val="yellow"/>
        </w:rPr>
      </w:pPr>
      <w:r w:rsidRPr="00DB7D3F">
        <w:rPr>
          <w:rFonts w:ascii="Palatino Linotype" w:eastAsia="Palatino Linotype" w:hAnsi="Palatino Linotype" w:cs="Palatino Linotype"/>
          <w:b/>
          <w:sz w:val="22"/>
          <w:szCs w:val="22"/>
        </w:rPr>
        <w:t>Figure 12: Trends in FPIs’ Investments</w:t>
      </w:r>
    </w:p>
    <w:p w:rsidR="00DB7D3F" w:rsidRPr="00DB7D3F" w:rsidRDefault="00DB7D3F" w:rsidP="00DB7D3F">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DB7D3F">
        <w:rPr>
          <w:noProof/>
          <w:lang w:val="en-IN" w:eastAsia="en-IN" w:bidi="hi-IN"/>
        </w:rPr>
        <w:drawing>
          <wp:inline distT="0" distB="0" distL="0" distR="0" wp14:anchorId="13914CF8" wp14:editId="4842785F">
            <wp:extent cx="6278880" cy="2484755"/>
            <wp:effectExtent l="0" t="0" r="7620" b="10795"/>
            <wp:docPr id="36" name="Chart 36">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B7D3F" w:rsidRPr="00DB7D3F" w:rsidRDefault="00DB7D3F" w:rsidP="00DB7D3F">
      <w:pPr>
        <w:rPr>
          <w:rFonts w:ascii="Palatino Linotype" w:eastAsia="Palatino Linotype" w:hAnsi="Palatino Linotype" w:cs="Palatino Linotype"/>
          <w:b/>
          <w:sz w:val="18"/>
          <w:szCs w:val="18"/>
        </w:rPr>
      </w:pPr>
      <w:r w:rsidRPr="00DB7D3F">
        <w:rPr>
          <w:rFonts w:ascii="Palatino Linotype" w:eastAsia="Palatino Linotype" w:hAnsi="Palatino Linotype" w:cs="Palatino Linotype"/>
          <w:b/>
          <w:sz w:val="18"/>
          <w:szCs w:val="18"/>
        </w:rPr>
        <w:t xml:space="preserve">  Source: CDSL and NSDL</w:t>
      </w:r>
    </w:p>
    <w:p w:rsidR="00DB7D3F" w:rsidRPr="00DB7D3F" w:rsidRDefault="00DB7D3F" w:rsidP="00DB7D3F">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DB7D3F" w:rsidRPr="00DB7D3F" w:rsidRDefault="00DB7D3F" w:rsidP="00DB7D3F">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1" w:name="_30j0zll" w:colFirst="0" w:colLast="0"/>
      <w:bookmarkEnd w:id="1"/>
    </w:p>
    <w:p w:rsidR="00DB7D3F" w:rsidRPr="00DB7D3F" w:rsidRDefault="00DB7D3F" w:rsidP="00DB7D3F">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DB7D3F">
        <w:rPr>
          <w:rFonts w:ascii="Palatino Linotype" w:eastAsia="Palatino Linotype" w:hAnsi="Palatino Linotype" w:cs="Palatino Linotype"/>
          <w:b/>
          <w:color w:val="222A35"/>
          <w:sz w:val="22"/>
          <w:szCs w:val="22"/>
        </w:rPr>
        <w:t xml:space="preserve">Trends in Portfolio Management Services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B7D3F">
        <w:rPr>
          <w:rFonts w:ascii="Palatino Linotype" w:eastAsia="Palatino Linotype" w:hAnsi="Palatino Linotype" w:cs="Palatino Linotype"/>
          <w:color w:val="000000" w:themeColor="text1"/>
          <w:sz w:val="22"/>
          <w:szCs w:val="22"/>
        </w:rPr>
        <w:t xml:space="preserve">As at end of July 2021, AUM of the portfolio management industry stood at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21.77 lakh crore compared to </w:t>
      </w:r>
      <w:r w:rsidRPr="00DB7D3F">
        <w:rPr>
          <w:rFonts w:ascii="Times New Roman" w:eastAsia="Palatino Linotype" w:hAnsi="Times New Roman"/>
          <w:color w:val="000000" w:themeColor="text1"/>
          <w:sz w:val="22"/>
          <w:szCs w:val="22"/>
        </w:rPr>
        <w:t>₹</w:t>
      </w:r>
      <w:r w:rsidRPr="00DB7D3F">
        <w:rPr>
          <w:rFonts w:ascii="Palatino Linotype" w:eastAsia="Palatino Linotype" w:hAnsi="Palatino Linotype" w:cs="Palatino Linotype"/>
          <w:color w:val="000000" w:themeColor="text1"/>
          <w:sz w:val="22"/>
          <w:szCs w:val="22"/>
        </w:rPr>
        <w:t xml:space="preserve">21.55 lakh crore at the end of June 2021. </w:t>
      </w:r>
    </w:p>
    <w:p w:rsidR="00DB7D3F" w:rsidRPr="00DB7D3F" w:rsidRDefault="00DB7D3F" w:rsidP="00DB7D3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sz w:val="22"/>
          <w:szCs w:val="22"/>
        </w:rPr>
      </w:pPr>
      <w:r w:rsidRPr="00DB7D3F">
        <w:rPr>
          <w:rFonts w:ascii="Palatino Linotype" w:eastAsia="Palatino Linotype" w:hAnsi="Palatino Linotype" w:cs="Palatino Linotype"/>
          <w:color w:val="000000" w:themeColor="text1"/>
          <w:sz w:val="22"/>
          <w:szCs w:val="22"/>
        </w:rPr>
        <w:t>There were 1,29,665 clients in portfolio management industry as at the end of July 2021, of which 1,19,870 clients belong to discretionary services category, 8,025 clients belong to non-discretionary services category and 1,770 clients belong to advisory services category of portfolio management services.</w:t>
      </w:r>
    </w:p>
    <w:p w:rsidR="00DB7D3F" w:rsidRPr="00DB7D3F" w:rsidRDefault="00DB7D3F" w:rsidP="00DB7D3F">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DB7D3F" w:rsidRPr="00DB7D3F" w:rsidRDefault="00DB7D3F" w:rsidP="00DB7D3F">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DB7D3F">
        <w:rPr>
          <w:rFonts w:ascii="Palatino Linotype" w:eastAsia="Palatino Linotype" w:hAnsi="Palatino Linotype" w:cs="Palatino Linotype"/>
          <w:b/>
          <w:color w:val="222A35"/>
          <w:sz w:val="22"/>
          <w:szCs w:val="22"/>
        </w:rPr>
        <w:t>Trends in Substantial Acquisition of Shares and Takeovers</w:t>
      </w:r>
    </w:p>
    <w:p w:rsidR="00DB7D3F" w:rsidRDefault="00DB7D3F" w:rsidP="00DB7D3F">
      <w:pPr>
        <w:jc w:val="both"/>
        <w:rPr>
          <w:rFonts w:ascii="Palatino Linotype" w:eastAsia="Times New Roman" w:hAnsi="Palatino Linotype" w:cs="Garamond"/>
          <w:color w:val="000000" w:themeColor="text1"/>
          <w:sz w:val="22"/>
          <w:szCs w:val="22"/>
        </w:rPr>
      </w:pPr>
      <w:r w:rsidRPr="00DB7D3F">
        <w:rPr>
          <w:rFonts w:ascii="Palatino Linotype" w:eastAsia="Palatino Linotype" w:hAnsi="Palatino Linotype" w:cs="Palatino Linotype"/>
          <w:sz w:val="22"/>
          <w:szCs w:val="22"/>
        </w:rPr>
        <w:t xml:space="preserve">During July 2021, five open offers with offer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 xml:space="preserve">8,267 crore were closed </w:t>
      </w:r>
      <w:r w:rsidRPr="00DB7D3F">
        <w:rPr>
          <w:rFonts w:ascii="Palatino Linotype" w:eastAsia="Palatino Linotype" w:hAnsi="Palatino Linotype" w:cs="Palatino Linotype"/>
          <w:color w:val="222A35"/>
          <w:sz w:val="22"/>
          <w:szCs w:val="22"/>
        </w:rPr>
        <w:t xml:space="preserve">under SEBI (Substantial Acquisition of Shares and Takeover) Regulations, 2011 (SAST Regulations) </w:t>
      </w:r>
      <w:r w:rsidRPr="00DB7D3F">
        <w:rPr>
          <w:rFonts w:ascii="Palatino Linotype" w:eastAsia="Palatino Linotype" w:hAnsi="Palatino Linotype" w:cs="Palatino Linotype"/>
          <w:sz w:val="22"/>
          <w:szCs w:val="22"/>
        </w:rPr>
        <w:t xml:space="preserve">as against six open offers with offer value of </w:t>
      </w:r>
      <w:r w:rsidRPr="00DB7D3F">
        <w:rPr>
          <w:rFonts w:ascii="Times New Roman" w:eastAsia="Palatino Linotype" w:hAnsi="Times New Roman"/>
          <w:sz w:val="22"/>
          <w:szCs w:val="22"/>
        </w:rPr>
        <w:t>₹</w:t>
      </w:r>
      <w:r w:rsidRPr="00DB7D3F">
        <w:rPr>
          <w:rFonts w:ascii="Palatino Linotype" w:eastAsia="Palatino Linotype" w:hAnsi="Palatino Linotype" w:cs="Palatino Linotype"/>
          <w:sz w:val="22"/>
          <w:szCs w:val="22"/>
        </w:rPr>
        <w:t>82 crore were closed in June 2021</w:t>
      </w:r>
      <w:r w:rsidRPr="00DB7D3F">
        <w:rPr>
          <w:rFonts w:ascii="Palatino Linotype" w:eastAsia="Palatino Linotype" w:hAnsi="Palatino Linotype" w:cs="Palatino Linotype"/>
          <w:color w:val="222A35"/>
          <w:sz w:val="22"/>
          <w:szCs w:val="22"/>
        </w:rPr>
        <w:t xml:space="preserve">. </w:t>
      </w:r>
      <w:r w:rsidRPr="00DB7D3F">
        <w:rPr>
          <w:rFonts w:ascii="Palatino Linotype" w:eastAsia="Times New Roman" w:hAnsi="Palatino Linotype" w:cs="Garamond"/>
          <w:color w:val="000000" w:themeColor="text1"/>
          <w:sz w:val="22"/>
          <w:szCs w:val="22"/>
        </w:rPr>
        <w:t xml:space="preserve">All five open offers were for change in control of management. </w:t>
      </w: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Default="00DB7D3F" w:rsidP="00DB7D3F">
      <w:pPr>
        <w:jc w:val="both"/>
        <w:rPr>
          <w:rFonts w:ascii="Palatino Linotype" w:eastAsia="Times New Roman" w:hAnsi="Palatino Linotype" w:cs="Garamond"/>
          <w:color w:val="000000" w:themeColor="text1"/>
          <w:sz w:val="22"/>
          <w:szCs w:val="22"/>
        </w:rPr>
      </w:pPr>
    </w:p>
    <w:p w:rsidR="00DB7D3F" w:rsidRPr="00DB7D3F" w:rsidRDefault="00DB7D3F" w:rsidP="00DB7D3F">
      <w:pPr>
        <w:jc w:val="both"/>
        <w:rPr>
          <w:rFonts w:ascii="Palatino Linotype" w:eastAsia="Times New Roman" w:hAnsi="Palatino Linotype" w:cs="Garamond"/>
          <w:color w:val="000000" w:themeColor="text1"/>
          <w:sz w:val="22"/>
          <w:szCs w:val="22"/>
        </w:rPr>
      </w:pPr>
    </w:p>
    <w:p w:rsidR="00DB7D3F" w:rsidRPr="00DB7D3F" w:rsidRDefault="00DB7D3F" w:rsidP="00DB7D3F">
      <w:pPr>
        <w:jc w:val="center"/>
        <w:rPr>
          <w:rFonts w:ascii="Palatino Linotype" w:eastAsia="Palatino Linotype" w:hAnsi="Palatino Linotype" w:cs="Palatino Linotype"/>
          <w:b/>
          <w:color w:val="222A35"/>
          <w:sz w:val="22"/>
          <w:szCs w:val="22"/>
        </w:rPr>
      </w:pPr>
      <w:r w:rsidRPr="00DB7D3F">
        <w:rPr>
          <w:rFonts w:ascii="Palatino Linotype" w:eastAsia="Palatino Linotype" w:hAnsi="Palatino Linotype" w:cs="Palatino Linotype"/>
          <w:b/>
          <w:color w:val="222A35"/>
          <w:sz w:val="22"/>
          <w:szCs w:val="22"/>
        </w:rPr>
        <w:t>Figure 13: Details of Open Offers Closed under the SEBI (SAST) Regulations</w:t>
      </w:r>
    </w:p>
    <w:p w:rsidR="00DB7D3F" w:rsidRPr="00DB7D3F" w:rsidRDefault="00DB7D3F" w:rsidP="00DB7D3F">
      <w:pPr>
        <w:spacing w:line="276" w:lineRule="auto"/>
        <w:jc w:val="center"/>
        <w:rPr>
          <w:rFonts w:ascii="Palatino Linotype" w:eastAsia="Palatino Linotype" w:hAnsi="Palatino Linotype" w:cs="Palatino Linotype"/>
          <w:b/>
          <w:color w:val="222A35"/>
          <w:sz w:val="22"/>
          <w:szCs w:val="22"/>
          <w:highlight w:val="yellow"/>
        </w:rPr>
      </w:pPr>
      <w:r w:rsidRPr="00DB7D3F">
        <w:rPr>
          <w:noProof/>
          <w:lang w:val="en-IN" w:eastAsia="en-IN" w:bidi="hi-IN"/>
        </w:rPr>
        <w:drawing>
          <wp:inline distT="0" distB="0" distL="0" distR="0" wp14:anchorId="3910A9C8" wp14:editId="4F4E2C41">
            <wp:extent cx="5600700" cy="2743200"/>
            <wp:effectExtent l="0" t="0" r="0" b="0"/>
            <wp:docPr id="37" name="Chart 3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1F08" w:rsidRDefault="003B1F08" w:rsidP="003F4581">
      <w:pPr>
        <w:widowControl w:val="0"/>
        <w:ind w:left="-284"/>
        <w:jc w:val="both"/>
        <w:rPr>
          <w:rFonts w:ascii="Palatino Linotype" w:hAnsi="Palatino Linotype"/>
          <w:b/>
          <w:color w:val="0F0684"/>
        </w:rPr>
      </w:pPr>
    </w:p>
    <w:p w:rsidR="003B1F08" w:rsidRDefault="003B1F08" w:rsidP="003F4581">
      <w:pPr>
        <w:widowControl w:val="0"/>
        <w:ind w:left="-284"/>
        <w:jc w:val="both"/>
        <w:rPr>
          <w:rFonts w:ascii="Palatino Linotype" w:hAnsi="Palatino Linotype"/>
          <w:b/>
          <w:color w:val="0F0684"/>
        </w:rPr>
      </w:pPr>
    </w:p>
    <w:p w:rsidR="003B1F08" w:rsidRDefault="003B1F08" w:rsidP="003F4581">
      <w:pPr>
        <w:widowControl w:val="0"/>
        <w:ind w:left="-284"/>
        <w:jc w:val="both"/>
        <w:rPr>
          <w:rFonts w:ascii="Palatino Linotype" w:hAnsi="Palatino Linotype"/>
          <w:b/>
          <w:color w:val="0F0684"/>
        </w:rPr>
      </w:pPr>
    </w:p>
    <w:p w:rsidR="002C3840" w:rsidRPr="00B92D2D" w:rsidRDefault="002C3840" w:rsidP="002C3840">
      <w:pPr>
        <w:widowControl w:val="0"/>
        <w:jc w:val="both"/>
        <w:rPr>
          <w:rFonts w:ascii="Palatino Linotype" w:eastAsia="Times New Roman" w:hAnsi="Palatino Linotype"/>
          <w:b/>
          <w:color w:val="0F0684"/>
        </w:rPr>
      </w:pPr>
      <w:r w:rsidRPr="00B92D2D">
        <w:rPr>
          <w:rFonts w:ascii="Palatino Linotype" w:hAnsi="Palatino Linotype"/>
          <w:b/>
          <w:color w:val="0F0684"/>
        </w:rPr>
        <w:t>IX.</w:t>
      </w:r>
      <w:r>
        <w:rPr>
          <w:rFonts w:ascii="Palatino Linotype" w:hAnsi="Palatino Linotype"/>
          <w:b/>
          <w:color w:val="0F0684"/>
        </w:rPr>
        <w:t xml:space="preserve">     Commodity </w:t>
      </w:r>
      <w:r w:rsidRPr="00B92D2D">
        <w:rPr>
          <w:rFonts w:ascii="Palatino Linotype" w:hAnsi="Palatino Linotype"/>
          <w:b/>
          <w:color w:val="0F0684"/>
        </w:rPr>
        <w:t>Derivatives Markets</w:t>
      </w:r>
    </w:p>
    <w:p w:rsidR="002C3840" w:rsidRPr="00B92D2D" w:rsidRDefault="002C3840" w:rsidP="002C3840">
      <w:pPr>
        <w:pStyle w:val="ListParagraph"/>
        <w:spacing w:after="0" w:line="240" w:lineRule="auto"/>
        <w:ind w:left="0"/>
        <w:jc w:val="both"/>
        <w:rPr>
          <w:rFonts w:ascii="Palatino Linotype" w:eastAsia="Times New Roman" w:hAnsi="Palatino Linotype"/>
          <w:b/>
          <w:color w:val="000000"/>
          <w:sz w:val="22"/>
          <w:szCs w:val="22"/>
        </w:rPr>
      </w:pPr>
    </w:p>
    <w:p w:rsidR="002C3840" w:rsidRPr="00C84AE1" w:rsidRDefault="002C3840" w:rsidP="002C3840">
      <w:pPr>
        <w:pStyle w:val="ListParagraph"/>
        <w:numPr>
          <w:ilvl w:val="0"/>
          <w:numId w:val="12"/>
        </w:numPr>
        <w:tabs>
          <w:tab w:val="left" w:pos="567"/>
        </w:tabs>
        <w:spacing w:after="0" w:line="240" w:lineRule="auto"/>
        <w:ind w:left="0" w:firstLine="0"/>
        <w:jc w:val="both"/>
        <w:rPr>
          <w:rFonts w:ascii="Palatino Linotype" w:eastAsia="Times New Roman" w:hAnsi="Palatino Linotype"/>
          <w:b/>
          <w:color w:val="000000"/>
          <w:sz w:val="22"/>
          <w:szCs w:val="22"/>
        </w:rPr>
      </w:pPr>
      <w:r w:rsidRPr="00C84AE1">
        <w:rPr>
          <w:rFonts w:ascii="Palatino Linotype" w:eastAsia="Times New Roman" w:hAnsi="Palatino Linotype"/>
          <w:b/>
          <w:color w:val="000000"/>
          <w:sz w:val="22"/>
          <w:szCs w:val="22"/>
        </w:rPr>
        <w:t>Market Trends</w:t>
      </w:r>
    </w:p>
    <w:p w:rsidR="002C3840" w:rsidRDefault="002C3840" w:rsidP="002C3840">
      <w:pPr>
        <w:pStyle w:val="ListParagraph"/>
        <w:spacing w:after="0" w:line="240" w:lineRule="auto"/>
        <w:ind w:left="567"/>
        <w:jc w:val="both"/>
        <w:rPr>
          <w:rFonts w:ascii="Palatino Linotype" w:hAnsi="Palatino Linotype"/>
          <w:sz w:val="22"/>
          <w:szCs w:val="22"/>
        </w:rPr>
      </w:pPr>
    </w:p>
    <w:p w:rsidR="002C3840" w:rsidRPr="00394922" w:rsidRDefault="002C3840" w:rsidP="002C3840">
      <w:pPr>
        <w:pStyle w:val="ListParagraph"/>
        <w:numPr>
          <w:ilvl w:val="0"/>
          <w:numId w:val="13"/>
        </w:numPr>
        <w:spacing w:after="0" w:line="240" w:lineRule="auto"/>
        <w:ind w:left="567" w:hanging="526"/>
        <w:jc w:val="both"/>
        <w:rPr>
          <w:rFonts w:ascii="Palatino Linotype" w:hAnsi="Palatino Linotype"/>
          <w:sz w:val="22"/>
          <w:szCs w:val="22"/>
        </w:rPr>
      </w:pPr>
      <w:r w:rsidRPr="009803F8">
        <w:rPr>
          <w:rFonts w:ascii="Palatino Linotype" w:hAnsi="Palatino Linotype"/>
          <w:sz w:val="22"/>
          <w:szCs w:val="22"/>
        </w:rPr>
        <w:t xml:space="preserve">During </w:t>
      </w:r>
      <w:r>
        <w:rPr>
          <w:rFonts w:ascii="Palatino Linotype" w:hAnsi="Palatino Linotype"/>
          <w:sz w:val="22"/>
          <w:szCs w:val="22"/>
        </w:rPr>
        <w:t>July</w:t>
      </w:r>
      <w:r w:rsidRPr="009803F8">
        <w:rPr>
          <w:rFonts w:ascii="Palatino Linotype" w:hAnsi="Palatino Linotype"/>
          <w:sz w:val="22"/>
          <w:szCs w:val="22"/>
        </w:rPr>
        <w:t xml:space="preserve"> 2021, MCX iCOMDEX composite index </w:t>
      </w:r>
      <w:r>
        <w:rPr>
          <w:rFonts w:ascii="Palatino Linotype" w:hAnsi="Palatino Linotype"/>
          <w:sz w:val="22"/>
          <w:szCs w:val="22"/>
        </w:rPr>
        <w:t>increased by</w:t>
      </w:r>
      <w:r w:rsidRPr="009803F8">
        <w:rPr>
          <w:rFonts w:ascii="Palatino Linotype" w:hAnsi="Palatino Linotype"/>
          <w:sz w:val="22"/>
          <w:szCs w:val="22"/>
        </w:rPr>
        <w:t xml:space="preserve"> </w:t>
      </w:r>
      <w:r>
        <w:rPr>
          <w:rFonts w:ascii="Palatino Linotype" w:hAnsi="Palatino Linotype"/>
          <w:sz w:val="22"/>
          <w:szCs w:val="22"/>
        </w:rPr>
        <w:t>3.2</w:t>
      </w:r>
      <w:r w:rsidRPr="009803F8">
        <w:rPr>
          <w:rFonts w:ascii="Palatino Linotype" w:hAnsi="Palatino Linotype"/>
          <w:sz w:val="22"/>
          <w:szCs w:val="22"/>
        </w:rPr>
        <w:t xml:space="preserve"> per cent (M-o-M).  This </w:t>
      </w:r>
      <w:r>
        <w:rPr>
          <w:rFonts w:ascii="Palatino Linotype" w:hAnsi="Palatino Linotype"/>
          <w:sz w:val="22"/>
          <w:szCs w:val="22"/>
        </w:rPr>
        <w:t>increase</w:t>
      </w:r>
      <w:r w:rsidRPr="009803F8">
        <w:rPr>
          <w:rFonts w:ascii="Palatino Linotype" w:hAnsi="Palatino Linotype"/>
          <w:sz w:val="22"/>
          <w:szCs w:val="22"/>
        </w:rPr>
        <w:t xml:space="preserve"> was </w:t>
      </w:r>
      <w:r>
        <w:rPr>
          <w:rFonts w:ascii="Palatino Linotype" w:hAnsi="Palatino Linotype"/>
          <w:sz w:val="22"/>
          <w:szCs w:val="22"/>
        </w:rPr>
        <w:t xml:space="preserve">mainly </w:t>
      </w:r>
      <w:r w:rsidRPr="009803F8">
        <w:rPr>
          <w:rFonts w:ascii="Palatino Linotype" w:hAnsi="Palatino Linotype"/>
          <w:sz w:val="22"/>
          <w:szCs w:val="22"/>
        </w:rPr>
        <w:t xml:space="preserve">driven by </w:t>
      </w:r>
      <w:r>
        <w:rPr>
          <w:rFonts w:ascii="Palatino Linotype" w:hAnsi="Palatino Linotype"/>
          <w:sz w:val="22"/>
          <w:szCs w:val="22"/>
        </w:rPr>
        <w:t xml:space="preserve">the base metal segment. Amongst base metals, nickel increased by 9.7 per cent, followed by copper (5.5 per cent), zinc (4.4 per cent), aluminum (3.5 per cent) and lead (1.8 </w:t>
      </w:r>
      <w:r w:rsidRPr="00394922">
        <w:rPr>
          <w:rFonts w:ascii="Palatino Linotype" w:hAnsi="Palatino Linotype"/>
          <w:sz w:val="22"/>
          <w:szCs w:val="22"/>
        </w:rPr>
        <w:t>per cent).  O</w:t>
      </w:r>
      <w:r w:rsidRPr="00394922">
        <w:rPr>
          <w:rFonts w:ascii="Palatino Linotype" w:eastAsia="Times New Roman" w:hAnsi="Palatino Linotype"/>
          <w:color w:val="000000"/>
          <w:sz w:val="22"/>
          <w:szCs w:val="22"/>
        </w:rPr>
        <w:t xml:space="preserve">n Y-o-Y basis, MCX iCOMDEX composite index increased by 16.8 per cent. </w:t>
      </w:r>
    </w:p>
    <w:p w:rsidR="002C3840" w:rsidRPr="00394922"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394922">
        <w:rPr>
          <w:rFonts w:ascii="Palatino Linotype" w:hAnsi="Palatino Linotype"/>
          <w:sz w:val="22"/>
          <w:szCs w:val="22"/>
        </w:rPr>
        <w:t>Amongst sectorial indices, MCX iCOMDEX Base Metal index increased by 5.6 per cent, followed by MCX iCOMDEX Energy index (+1.9 per cent) and MCX iCOMDEX Bullion index (+1.0 per cent).</w:t>
      </w:r>
      <w:r w:rsidRPr="00394922">
        <w:rPr>
          <w:rFonts w:ascii="Palatino Linotype" w:eastAsia="Times New Roman" w:hAnsi="Palatino Linotype"/>
          <w:color w:val="000000"/>
          <w:sz w:val="22"/>
          <w:szCs w:val="22"/>
        </w:rPr>
        <w:t xml:space="preserve"> </w:t>
      </w:r>
      <w:r w:rsidRPr="00394922">
        <w:rPr>
          <w:rFonts w:ascii="Palatino Linotype" w:hAnsi="Palatino Linotype"/>
          <w:sz w:val="22"/>
          <w:szCs w:val="22"/>
        </w:rPr>
        <w:t>Year on Year, MCX iCOMDEX crude index and base metal index increased by 71.2 per cent and 41.6 per cent, respectively, at the end of July 2021, whereas MCX iCOMDEX bullion index decreased by 11.5 per cent.</w:t>
      </w:r>
    </w:p>
    <w:p w:rsidR="002C3840" w:rsidRPr="00394922"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394922">
        <w:rPr>
          <w:rFonts w:ascii="Palatino Linotype" w:hAnsi="Palatino Linotype"/>
          <w:sz w:val="22"/>
          <w:szCs w:val="22"/>
        </w:rPr>
        <w:t xml:space="preserve">NCDEX NKrishi </w:t>
      </w:r>
      <w:r w:rsidRPr="00394922">
        <w:rPr>
          <w:rFonts w:ascii="Palatino Linotype" w:eastAsia="Times New Roman" w:hAnsi="Palatino Linotype"/>
          <w:color w:val="000000"/>
          <w:sz w:val="22"/>
          <w:szCs w:val="22"/>
        </w:rPr>
        <w:t>index</w:t>
      </w:r>
      <w:r w:rsidRPr="00394922">
        <w:rPr>
          <w:rFonts w:ascii="Palatino Linotype" w:hAnsi="Palatino Linotype"/>
          <w:sz w:val="22"/>
          <w:szCs w:val="22"/>
        </w:rPr>
        <w:t xml:space="preserve"> increased significantly by 7.9 per cent (M-o-M) as prices of nine out of ten constituent commodities recorded increase in prices. Among constituents of NKrishi, the prices of Soyabean increased the most by 40.4 per cent month on month., followed by castor seed (10.2 per cent), RM seed (11.4 per cent) and cotton seed oil cake (7.6 per cent).  </w:t>
      </w:r>
      <w:r w:rsidRPr="00394922">
        <w:rPr>
          <w:rFonts w:ascii="Palatino Linotype" w:eastAsia="Times New Roman" w:hAnsi="Palatino Linotype"/>
          <w:color w:val="000000"/>
          <w:sz w:val="22"/>
          <w:szCs w:val="22"/>
        </w:rPr>
        <w:t xml:space="preserve">On Y-o-Y basis, NKrishi index increased by 56.4 per cent. </w:t>
      </w:r>
    </w:p>
    <w:p w:rsidR="002C3840" w:rsidRPr="009803F8"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394922">
        <w:rPr>
          <w:rFonts w:ascii="Palatino Linotype" w:eastAsia="Times New Roman" w:hAnsi="Palatino Linotype"/>
          <w:color w:val="000000"/>
          <w:sz w:val="22"/>
          <w:szCs w:val="22"/>
        </w:rPr>
        <w:t xml:space="preserve">Movement in MCX iCOMDEX composite Index and NKrishi Index during July 2021 is given in </w:t>
      </w:r>
      <w:r w:rsidRPr="00394922">
        <w:rPr>
          <w:rFonts w:ascii="Palatino Linotype" w:eastAsia="Times New Roman" w:hAnsi="Palatino Linotype"/>
          <w:b/>
          <w:bCs/>
          <w:i/>
          <w:iCs/>
          <w:color w:val="000000"/>
          <w:sz w:val="22"/>
          <w:szCs w:val="22"/>
        </w:rPr>
        <w:t>Figure 14</w:t>
      </w:r>
      <w:r w:rsidRPr="00394922">
        <w:rPr>
          <w:rFonts w:ascii="Palatino Linotype" w:eastAsia="Times New Roman" w:hAnsi="Palatino Linotype"/>
          <w:color w:val="000000"/>
          <w:sz w:val="22"/>
          <w:szCs w:val="22"/>
        </w:rPr>
        <w:t xml:space="preserve"> and the monthly data of these indices is provided in </w:t>
      </w:r>
      <w:r w:rsidRPr="00394922">
        <w:rPr>
          <w:rFonts w:ascii="Palatino Linotype" w:eastAsia="Times New Roman" w:hAnsi="Palatino Linotype"/>
          <w:b/>
          <w:bCs/>
          <w:i/>
          <w:iCs/>
          <w:color w:val="000000"/>
          <w:sz w:val="22"/>
          <w:szCs w:val="22"/>
        </w:rPr>
        <w:t>Table 64.</w:t>
      </w:r>
    </w:p>
    <w:p w:rsidR="002C3840" w:rsidRDefault="002C3840"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Default="00DB7D3F" w:rsidP="002C3840">
      <w:pPr>
        <w:rPr>
          <w:rFonts w:ascii="Palatino Linotype" w:eastAsia="Times New Roman" w:hAnsi="Palatino Linotype"/>
          <w:b/>
          <w:color w:val="2E74B5"/>
        </w:rPr>
      </w:pPr>
    </w:p>
    <w:p w:rsidR="00DB7D3F" w:rsidRPr="009803F8" w:rsidRDefault="00DB7D3F" w:rsidP="002C3840">
      <w:pPr>
        <w:rPr>
          <w:rFonts w:ascii="Palatino Linotype" w:eastAsia="Times New Roman" w:hAnsi="Palatino Linotype"/>
          <w:b/>
          <w:color w:val="2E74B5"/>
        </w:rPr>
      </w:pPr>
    </w:p>
    <w:p w:rsidR="002C3840" w:rsidRDefault="002C3840" w:rsidP="002C3840">
      <w:pPr>
        <w:pStyle w:val="ListParagraph"/>
        <w:spacing w:after="0" w:line="240" w:lineRule="auto"/>
        <w:ind w:left="0"/>
        <w:rPr>
          <w:rFonts w:ascii="Palatino Linotype" w:eastAsia="Times New Roman" w:hAnsi="Palatino Linotype"/>
          <w:b/>
          <w:sz w:val="22"/>
          <w:szCs w:val="22"/>
        </w:rPr>
      </w:pPr>
      <w:r w:rsidRPr="009803F8">
        <w:rPr>
          <w:rFonts w:ascii="Palatino Linotype" w:eastAsia="Times New Roman" w:hAnsi="Palatino Linotype"/>
          <w:b/>
          <w:sz w:val="22"/>
          <w:szCs w:val="22"/>
        </w:rPr>
        <w:t>Figure 14: Movement of Commodity Derivatives Market Indices during Ju</w:t>
      </w:r>
      <w:r>
        <w:rPr>
          <w:rFonts w:ascii="Palatino Linotype" w:eastAsia="Times New Roman" w:hAnsi="Palatino Linotype"/>
          <w:b/>
          <w:sz w:val="22"/>
          <w:szCs w:val="22"/>
        </w:rPr>
        <w:t xml:space="preserve">ly </w:t>
      </w:r>
      <w:r w:rsidRPr="009803F8">
        <w:rPr>
          <w:rFonts w:ascii="Palatino Linotype" w:eastAsia="Times New Roman" w:hAnsi="Palatino Linotype"/>
          <w:b/>
          <w:sz w:val="22"/>
          <w:szCs w:val="22"/>
        </w:rPr>
        <w:t>2021</w:t>
      </w:r>
    </w:p>
    <w:p w:rsidR="002C3840" w:rsidRPr="00DA4621" w:rsidRDefault="002C3840" w:rsidP="002C3840">
      <w:pPr>
        <w:pStyle w:val="ListParagraph"/>
        <w:spacing w:after="0" w:line="240" w:lineRule="auto"/>
        <w:ind w:left="142" w:hanging="142"/>
        <w:jc w:val="center"/>
        <w:rPr>
          <w:rFonts w:ascii="Palatino Linotype" w:eastAsia="Times New Roman" w:hAnsi="Palatino Linotype"/>
          <w:b/>
          <w:color w:val="2E74B5"/>
          <w:sz w:val="22"/>
          <w:szCs w:val="22"/>
        </w:rPr>
      </w:pPr>
      <w:r w:rsidRPr="00AD434E">
        <w:rPr>
          <w:noProof/>
          <w:lang w:val="en-IN" w:eastAsia="en-IN" w:bidi="hi-IN"/>
        </w:rPr>
        <w:drawing>
          <wp:inline distT="0" distB="0" distL="0" distR="0" wp14:anchorId="00242304" wp14:editId="247132E4">
            <wp:extent cx="4417695" cy="2809240"/>
            <wp:effectExtent l="0" t="0" r="1905" b="1016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3840" w:rsidRDefault="002C3840" w:rsidP="002C3840">
      <w:pPr>
        <w:pStyle w:val="ListParagraph"/>
        <w:spacing w:after="0" w:line="480" w:lineRule="auto"/>
        <w:ind w:left="-426"/>
        <w:rPr>
          <w:rFonts w:ascii="Palatino Linotype" w:hAnsi="Palatino Linotype" w:cs="Arial"/>
          <w:b/>
          <w:bCs/>
          <w:sz w:val="22"/>
          <w:szCs w:val="22"/>
        </w:rPr>
      </w:pPr>
      <w:r w:rsidRPr="00B92D2D">
        <w:rPr>
          <w:rFonts w:ascii="Palatino Linotype" w:hAnsi="Palatino Linotype" w:cs="Arial"/>
          <w:b/>
          <w:bCs/>
          <w:sz w:val="22"/>
          <w:szCs w:val="22"/>
        </w:rPr>
        <w:t xml:space="preserve">             </w:t>
      </w:r>
      <w:r>
        <w:rPr>
          <w:rFonts w:ascii="Palatino Linotype" w:hAnsi="Palatino Linotype" w:cs="Arial"/>
          <w:b/>
          <w:bCs/>
          <w:sz w:val="22"/>
          <w:szCs w:val="22"/>
        </w:rPr>
        <w:t xml:space="preserve">             </w:t>
      </w:r>
      <w:r w:rsidRPr="009B2971">
        <w:rPr>
          <w:rFonts w:ascii="Palatino Linotype" w:hAnsi="Palatino Linotype" w:cs="Arial"/>
          <w:b/>
          <w:bCs/>
          <w:sz w:val="18"/>
          <w:szCs w:val="18"/>
        </w:rPr>
        <w:t>Source: MCX and NCDEX</w:t>
      </w:r>
    </w:p>
    <w:p w:rsidR="002C3840" w:rsidRDefault="002C3840" w:rsidP="002C3840">
      <w:pPr>
        <w:pStyle w:val="ListParagraph"/>
        <w:tabs>
          <w:tab w:val="left" w:pos="3360"/>
        </w:tabs>
        <w:spacing w:after="0" w:line="480" w:lineRule="auto"/>
        <w:ind w:left="-426"/>
        <w:rPr>
          <w:rFonts w:ascii="Palatino Linotype" w:hAnsi="Palatino Linotype" w:cs="Arial"/>
          <w:b/>
          <w:bCs/>
          <w:sz w:val="22"/>
          <w:szCs w:val="22"/>
        </w:rPr>
      </w:pPr>
      <w:r>
        <w:rPr>
          <w:rFonts w:ascii="Palatino Linotype" w:hAnsi="Palatino Linotype" w:cs="Arial"/>
          <w:b/>
          <w:bCs/>
          <w:sz w:val="22"/>
          <w:szCs w:val="22"/>
        </w:rPr>
        <w:tab/>
      </w:r>
    </w:p>
    <w:p w:rsidR="002C3840" w:rsidRDefault="002C3840" w:rsidP="002C3840">
      <w:pPr>
        <w:rPr>
          <w:rFonts w:ascii="Palatino Linotype" w:hAnsi="Palatino Linotype" w:cs="Arial"/>
          <w:b/>
          <w:bCs/>
        </w:rPr>
      </w:pPr>
      <w:r>
        <w:rPr>
          <w:rFonts w:ascii="Palatino Linotype" w:hAnsi="Palatino Linotype" w:cs="Arial"/>
          <w:b/>
          <w:bCs/>
        </w:rPr>
        <w:br w:type="page"/>
      </w:r>
    </w:p>
    <w:p w:rsidR="002C3840" w:rsidRDefault="002C3840" w:rsidP="002C3840">
      <w:pPr>
        <w:jc w:val="both"/>
        <w:rPr>
          <w:rFonts w:ascii="Palatino Linotype" w:hAnsi="Palatino Linotype" w:cs="Arial"/>
          <w:b/>
          <w:bCs/>
        </w:rPr>
      </w:pPr>
      <w:r>
        <w:rPr>
          <w:rFonts w:ascii="Palatino Linotype" w:hAnsi="Palatino Linotype" w:cs="Arial"/>
          <w:b/>
          <w:bCs/>
        </w:rPr>
        <w:lastRenderedPageBreak/>
        <w:t xml:space="preserve">             </w:t>
      </w:r>
      <w:r w:rsidRPr="00D45369">
        <w:rPr>
          <w:rFonts w:ascii="Palatino Linotype" w:hAnsi="Palatino Linotype" w:cs="Arial"/>
          <w:b/>
          <w:bCs/>
        </w:rPr>
        <w:t>Table 4: Snapshot of Indian Commodity Derivatives Markets</w:t>
      </w:r>
    </w:p>
    <w:tbl>
      <w:tblPr>
        <w:tblW w:w="8320" w:type="dxa"/>
        <w:tblInd w:w="113" w:type="dxa"/>
        <w:tblLook w:val="04A0" w:firstRow="1" w:lastRow="0" w:firstColumn="1" w:lastColumn="0" w:noHBand="0" w:noVBand="1"/>
      </w:tblPr>
      <w:tblGrid>
        <w:gridCol w:w="3137"/>
        <w:gridCol w:w="1260"/>
        <w:gridCol w:w="1260"/>
        <w:gridCol w:w="1260"/>
        <w:gridCol w:w="1403"/>
      </w:tblGrid>
      <w:tr w:rsidR="002C3840" w:rsidRPr="002912D4" w:rsidTr="00E26457">
        <w:trPr>
          <w:trHeight w:val="936"/>
        </w:trPr>
        <w:tc>
          <w:tcPr>
            <w:tcW w:w="3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jc w:val="cente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Items</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C3840" w:rsidRPr="002912D4" w:rsidRDefault="002C3840" w:rsidP="00E26457">
            <w:pPr>
              <w:jc w:val="center"/>
              <w:rPr>
                <w:rFonts w:ascii="Palatino Linotype" w:eastAsia="Times New Roman" w:hAnsi="Palatino Linotype" w:cs="Calibri"/>
                <w:b/>
                <w:bCs/>
                <w:lang w:val="en-IN" w:eastAsia="en-IN" w:bidi="hi-IN"/>
              </w:rPr>
            </w:pPr>
            <w:r w:rsidRPr="002912D4">
              <w:rPr>
                <w:rFonts w:ascii="Palatino Linotype" w:eastAsia="Times New Roman" w:hAnsi="Palatino Linotype" w:cs="Calibri"/>
                <w:b/>
                <w:bCs/>
                <w:lang w:val="en-IN" w:eastAsia="en-IN" w:bidi="hi-IN"/>
              </w:rPr>
              <w:t>May-21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C3840" w:rsidRPr="002912D4" w:rsidRDefault="002C3840" w:rsidP="00E26457">
            <w:pPr>
              <w:jc w:val="center"/>
              <w:rPr>
                <w:rFonts w:ascii="Palatino Linotype" w:eastAsia="Times New Roman" w:hAnsi="Palatino Linotype" w:cs="Calibri"/>
                <w:b/>
                <w:bCs/>
                <w:lang w:val="en-IN" w:eastAsia="en-IN" w:bidi="hi-IN"/>
              </w:rPr>
            </w:pPr>
            <w:r w:rsidRPr="002912D4">
              <w:rPr>
                <w:rFonts w:ascii="Palatino Linotype" w:eastAsia="Times New Roman" w:hAnsi="Palatino Linotype" w:cs="Calibri"/>
                <w:b/>
                <w:bCs/>
                <w:lang w:val="en-IN" w:eastAsia="en-IN" w:bidi="hi-IN"/>
              </w:rPr>
              <w:t>Jun-21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C3840" w:rsidRPr="002912D4" w:rsidRDefault="002C3840" w:rsidP="00E26457">
            <w:pPr>
              <w:jc w:val="center"/>
              <w:rPr>
                <w:rFonts w:ascii="Palatino Linotype" w:eastAsia="Times New Roman" w:hAnsi="Palatino Linotype" w:cs="Calibri"/>
                <w:b/>
                <w:bCs/>
                <w:lang w:val="en-IN" w:eastAsia="en-IN" w:bidi="hi-IN"/>
              </w:rPr>
            </w:pPr>
            <w:r w:rsidRPr="002912D4">
              <w:rPr>
                <w:rFonts w:ascii="Palatino Linotype" w:eastAsia="Times New Roman" w:hAnsi="Palatino Linotype" w:cs="Calibri"/>
                <w:b/>
                <w:bCs/>
                <w:lang w:val="en-IN" w:eastAsia="en-IN" w:bidi="hi-IN"/>
              </w:rPr>
              <w:t>Jul-21</w:t>
            </w:r>
          </w:p>
        </w:tc>
        <w:tc>
          <w:tcPr>
            <w:tcW w:w="1340" w:type="dxa"/>
            <w:tcBorders>
              <w:top w:val="single" w:sz="4" w:space="0" w:color="auto"/>
              <w:left w:val="nil"/>
              <w:bottom w:val="nil"/>
              <w:right w:val="single" w:sz="4" w:space="0" w:color="auto"/>
            </w:tcBorders>
            <w:shd w:val="clear" w:color="auto" w:fill="auto"/>
            <w:vAlign w:val="center"/>
            <w:hideMark/>
          </w:tcPr>
          <w:p w:rsidR="002C3840" w:rsidRPr="002912D4" w:rsidRDefault="002C3840" w:rsidP="00E26457">
            <w:pPr>
              <w:jc w:val="cente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Percentage variation    M-O-M</w:t>
            </w:r>
          </w:p>
        </w:tc>
      </w:tr>
      <w:tr w:rsidR="002C3840" w:rsidRPr="002912D4" w:rsidTr="00E26457">
        <w:trPr>
          <w:trHeight w:val="312"/>
        </w:trPr>
        <w:tc>
          <w:tcPr>
            <w:tcW w:w="3200" w:type="dxa"/>
            <w:tcBorders>
              <w:top w:val="nil"/>
              <w:left w:val="single" w:sz="4" w:space="0" w:color="auto"/>
              <w:bottom w:val="single" w:sz="4" w:space="0" w:color="auto"/>
              <w:right w:val="nil"/>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A. Indices</w:t>
            </w:r>
          </w:p>
        </w:tc>
        <w:tc>
          <w:tcPr>
            <w:tcW w:w="1260" w:type="dxa"/>
            <w:tcBorders>
              <w:top w:val="nil"/>
              <w:left w:val="nil"/>
              <w:bottom w:val="single" w:sz="4" w:space="0" w:color="auto"/>
              <w:right w:val="nil"/>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 </w:t>
            </w:r>
          </w:p>
        </w:tc>
        <w:tc>
          <w:tcPr>
            <w:tcW w:w="1260" w:type="dxa"/>
            <w:tcBorders>
              <w:top w:val="nil"/>
              <w:left w:val="nil"/>
              <w:bottom w:val="single" w:sz="4" w:space="0" w:color="auto"/>
              <w:right w:val="nil"/>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 </w:t>
            </w:r>
          </w:p>
        </w:tc>
        <w:tc>
          <w:tcPr>
            <w:tcW w:w="1260" w:type="dxa"/>
            <w:tcBorders>
              <w:top w:val="nil"/>
              <w:left w:val="nil"/>
              <w:bottom w:val="single" w:sz="4" w:space="0" w:color="auto"/>
              <w:right w:val="nil"/>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 </w:t>
            </w:r>
          </w:p>
        </w:tc>
      </w:tr>
      <w:tr w:rsidR="002C3840" w:rsidRPr="002912D4" w:rsidTr="00E26457">
        <w:trPr>
          <w:trHeight w:val="312"/>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ind w:firstLineChars="400" w:firstLine="960"/>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Nkrishi</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4,741</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4,733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5,107</w:t>
            </w:r>
          </w:p>
        </w:tc>
        <w:tc>
          <w:tcPr>
            <w:tcW w:w="1340" w:type="dxa"/>
            <w:tcBorders>
              <w:top w:val="nil"/>
              <w:left w:val="nil"/>
              <w:bottom w:val="single" w:sz="4" w:space="0" w:color="auto"/>
              <w:right w:val="single" w:sz="4" w:space="0" w:color="auto"/>
            </w:tcBorders>
            <w:shd w:val="clear" w:color="auto" w:fill="auto"/>
            <w:vAlign w:val="center"/>
            <w:hideMark/>
          </w:tcPr>
          <w:p w:rsidR="002C3840" w:rsidRPr="002912D4" w:rsidRDefault="002C3840" w:rsidP="00E26457">
            <w:pPr>
              <w:jc w:val="center"/>
              <w:rPr>
                <w:rFonts w:ascii="Palatino Linotype" w:eastAsia="Times New Roman" w:hAnsi="Palatino Linotype" w:cs="Calibri"/>
                <w:i/>
                <w:iCs/>
                <w:color w:val="000000"/>
                <w:lang w:val="en-IN" w:eastAsia="en-IN" w:bidi="hi-IN"/>
              </w:rPr>
            </w:pPr>
            <w:r w:rsidRPr="002912D4">
              <w:rPr>
                <w:rFonts w:ascii="Palatino Linotype" w:eastAsia="Times New Roman" w:hAnsi="Palatino Linotype" w:cs="Calibri"/>
                <w:i/>
                <w:iCs/>
                <w:color w:val="000000"/>
                <w:lang w:val="en-IN" w:eastAsia="en-IN" w:bidi="hi-IN"/>
              </w:rPr>
              <w:t>7.9</w:t>
            </w:r>
          </w:p>
        </w:tc>
      </w:tr>
      <w:tr w:rsidR="002C3840" w:rsidRPr="002912D4" w:rsidTr="00E26457">
        <w:trPr>
          <w:trHeight w:val="312"/>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ind w:firstLineChars="400" w:firstLine="960"/>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MCX iCOMDEX</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11,457</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11,313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11,678</w:t>
            </w:r>
          </w:p>
        </w:tc>
        <w:tc>
          <w:tcPr>
            <w:tcW w:w="1340" w:type="dxa"/>
            <w:tcBorders>
              <w:top w:val="nil"/>
              <w:left w:val="nil"/>
              <w:bottom w:val="single" w:sz="4" w:space="0" w:color="auto"/>
              <w:right w:val="single" w:sz="4" w:space="0" w:color="auto"/>
            </w:tcBorders>
            <w:shd w:val="clear" w:color="auto" w:fill="auto"/>
            <w:vAlign w:val="center"/>
            <w:hideMark/>
          </w:tcPr>
          <w:p w:rsidR="002C3840" w:rsidRPr="002912D4" w:rsidRDefault="002C3840" w:rsidP="00E26457">
            <w:pPr>
              <w:jc w:val="center"/>
              <w:rPr>
                <w:rFonts w:ascii="Palatino Linotype" w:eastAsia="Times New Roman" w:hAnsi="Palatino Linotype" w:cs="Calibri"/>
                <w:i/>
                <w:iCs/>
                <w:color w:val="000000"/>
                <w:lang w:val="en-IN" w:eastAsia="en-IN" w:bidi="hi-IN"/>
              </w:rPr>
            </w:pPr>
            <w:r w:rsidRPr="002912D4">
              <w:rPr>
                <w:rFonts w:ascii="Palatino Linotype" w:eastAsia="Times New Roman" w:hAnsi="Palatino Linotype" w:cs="Calibri"/>
                <w:i/>
                <w:iCs/>
                <w:color w:val="000000"/>
                <w:lang w:val="en-IN" w:eastAsia="en-IN" w:bidi="hi-IN"/>
              </w:rPr>
              <w:t>3.2</w:t>
            </w:r>
          </w:p>
        </w:tc>
      </w:tr>
      <w:tr w:rsidR="002C3840" w:rsidRPr="002912D4" w:rsidTr="00E26457">
        <w:trPr>
          <w:trHeight w:val="464"/>
        </w:trPr>
        <w:tc>
          <w:tcPr>
            <w:tcW w:w="8320" w:type="dxa"/>
            <w:gridSpan w:val="5"/>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B. Turnover Exchange Wise (</w:t>
            </w:r>
            <w:r w:rsidRPr="002912D4">
              <w:rPr>
                <w:rFonts w:ascii="Times New Roman" w:eastAsia="Times New Roman" w:hAnsi="Times New Roman"/>
                <w:b/>
                <w:bCs/>
                <w:color w:val="000000"/>
                <w:lang w:val="en-IN" w:eastAsia="en-IN" w:bidi="hi-IN"/>
              </w:rPr>
              <w:t>₹</w:t>
            </w:r>
            <w:r w:rsidRPr="002912D4">
              <w:rPr>
                <w:rFonts w:ascii="Palatino Linotype" w:eastAsia="Times New Roman" w:hAnsi="Palatino Linotype" w:cs="Calibri"/>
                <w:b/>
                <w:bCs/>
                <w:color w:val="000000"/>
                <w:lang w:val="en-IN" w:eastAsia="en-IN" w:bidi="hi-IN"/>
              </w:rPr>
              <w:t>crore) </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All-India</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8,22,176</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7,53,505</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8,05,064</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6.8</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MCX, of which</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7,09,903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6,37,698</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6,88,986</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8.0</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Futures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6,68,166</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5,87,599</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5,89,717</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0.4</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Options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41,738</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50,099</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99,270</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98.1</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BSE, of which</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68,167</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71,872</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69,306</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-3.6</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Futures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195</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239</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266</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11.3</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Options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67,972</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71,633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69,040</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-3.6</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NCDEX, of which</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42,923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42,786</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45,179</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5.6</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Futures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42,920</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42,777</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45,175</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5.6</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Options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10</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-54.2</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NSE, of which</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1,160</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1,122</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1,570</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39.9</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Futures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314</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423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676</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59.7</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color w:val="000000"/>
                <w:lang w:val="en-IN" w:eastAsia="en-IN" w:bidi="hi-IN"/>
              </w:rPr>
            </w:pPr>
            <w:r w:rsidRPr="002912D4">
              <w:rPr>
                <w:rFonts w:ascii="Palatino Linotype" w:eastAsia="Times New Roman" w:hAnsi="Palatino Linotype" w:cs="Calibri"/>
                <w:color w:val="000000"/>
                <w:lang w:val="en-IN" w:eastAsia="en-IN" w:bidi="hi-IN"/>
              </w:rPr>
              <w:t xml:space="preserve">            Options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846</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699</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sz w:val="20"/>
                <w:szCs w:val="20"/>
                <w:lang w:val="en-IN" w:eastAsia="en-IN" w:bidi="hi-IN"/>
              </w:rPr>
            </w:pPr>
            <w:r w:rsidRPr="002912D4">
              <w:rPr>
                <w:rFonts w:ascii="Palatino Linotype" w:eastAsia="Times New Roman" w:hAnsi="Palatino Linotype" w:cs="Calibri"/>
                <w:sz w:val="20"/>
                <w:szCs w:val="20"/>
                <w:lang w:val="en-IN" w:eastAsia="en-IN" w:bidi="hi-IN"/>
              </w:rPr>
              <w:t>895</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27.9</w:t>
            </w:r>
          </w:p>
        </w:tc>
      </w:tr>
      <w:tr w:rsidR="002C3840" w:rsidRPr="002912D4" w:rsidTr="00E26457">
        <w:trPr>
          <w:trHeight w:val="336"/>
        </w:trPr>
        <w:tc>
          <w:tcPr>
            <w:tcW w:w="3200" w:type="dxa"/>
            <w:tcBorders>
              <w:top w:val="nil"/>
              <w:left w:val="single" w:sz="4" w:space="0" w:color="auto"/>
              <w:bottom w:val="single" w:sz="4" w:space="0" w:color="auto"/>
              <w:right w:val="single" w:sz="4" w:space="0" w:color="auto"/>
            </w:tcBorders>
            <w:shd w:val="clear" w:color="auto" w:fill="auto"/>
            <w:vAlign w:val="center"/>
            <w:hideMark/>
          </w:tcPr>
          <w:p w:rsidR="002C3840" w:rsidRPr="002912D4" w:rsidRDefault="002C3840" w:rsidP="00E26457">
            <w:pPr>
              <w:rPr>
                <w:rFonts w:ascii="Palatino Linotype" w:eastAsia="Times New Roman" w:hAnsi="Palatino Linotype" w:cs="Calibri"/>
                <w:b/>
                <w:bCs/>
                <w:color w:val="000000"/>
                <w:lang w:val="en-IN" w:eastAsia="en-IN" w:bidi="hi-IN"/>
              </w:rPr>
            </w:pPr>
            <w:r w:rsidRPr="002912D4">
              <w:rPr>
                <w:rFonts w:ascii="Palatino Linotype" w:eastAsia="Times New Roman" w:hAnsi="Palatino Linotype" w:cs="Calibri"/>
                <w:b/>
                <w:bCs/>
                <w:color w:val="000000"/>
                <w:lang w:val="en-IN" w:eastAsia="en-IN" w:bidi="hi-IN"/>
              </w:rPr>
              <w:t>ICEX (Futures)</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23</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26</w:t>
            </w:r>
          </w:p>
        </w:tc>
        <w:tc>
          <w:tcPr>
            <w:tcW w:w="126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right"/>
              <w:rPr>
                <w:rFonts w:ascii="Palatino Linotype" w:eastAsia="Times New Roman" w:hAnsi="Palatino Linotype" w:cs="Calibri"/>
                <w:b/>
                <w:bCs/>
                <w:sz w:val="20"/>
                <w:szCs w:val="20"/>
                <w:lang w:val="en-IN" w:eastAsia="en-IN" w:bidi="hi-IN"/>
              </w:rPr>
            </w:pPr>
            <w:r w:rsidRPr="002912D4">
              <w:rPr>
                <w:rFonts w:ascii="Palatino Linotype" w:eastAsia="Times New Roman" w:hAnsi="Palatino Linotype" w:cs="Calibri"/>
                <w:b/>
                <w:bCs/>
                <w:sz w:val="20"/>
                <w:szCs w:val="20"/>
                <w:lang w:val="en-IN" w:eastAsia="en-IN" w:bidi="hi-IN"/>
              </w:rPr>
              <w:t>22</w:t>
            </w:r>
          </w:p>
        </w:tc>
        <w:tc>
          <w:tcPr>
            <w:tcW w:w="1340" w:type="dxa"/>
            <w:tcBorders>
              <w:top w:val="nil"/>
              <w:left w:val="nil"/>
              <w:bottom w:val="single" w:sz="4" w:space="0" w:color="auto"/>
              <w:right w:val="single" w:sz="4" w:space="0" w:color="auto"/>
            </w:tcBorders>
            <w:shd w:val="clear" w:color="auto" w:fill="auto"/>
            <w:noWrap/>
            <w:hideMark/>
          </w:tcPr>
          <w:p w:rsidR="002C3840" w:rsidRPr="002912D4" w:rsidRDefault="002C3840" w:rsidP="00E26457">
            <w:pPr>
              <w:jc w:val="center"/>
              <w:rPr>
                <w:rFonts w:ascii="Palatino Linotype" w:eastAsia="Times New Roman" w:hAnsi="Palatino Linotype" w:cs="Calibri"/>
                <w:i/>
                <w:iCs/>
                <w:sz w:val="20"/>
                <w:szCs w:val="20"/>
                <w:lang w:val="en-IN" w:eastAsia="en-IN" w:bidi="hi-IN"/>
              </w:rPr>
            </w:pPr>
            <w:r w:rsidRPr="002912D4">
              <w:rPr>
                <w:rFonts w:ascii="Palatino Linotype" w:eastAsia="Times New Roman" w:hAnsi="Palatino Linotype" w:cs="Calibri"/>
                <w:i/>
                <w:iCs/>
                <w:sz w:val="20"/>
                <w:szCs w:val="20"/>
                <w:lang w:val="en-IN" w:eastAsia="en-IN" w:bidi="hi-IN"/>
              </w:rPr>
              <w:t>-16.3</w:t>
            </w:r>
          </w:p>
        </w:tc>
      </w:tr>
    </w:tbl>
    <w:p w:rsidR="002C3840" w:rsidRPr="00DF31BD" w:rsidRDefault="002C3840" w:rsidP="002C3840">
      <w:pPr>
        <w:jc w:val="both"/>
        <w:rPr>
          <w:rFonts w:ascii="Palatino Linotype" w:hAnsi="Palatino Linotype" w:cs="Arial"/>
          <w:b/>
          <w:bCs/>
          <w:sz w:val="18"/>
          <w:szCs w:val="18"/>
        </w:rPr>
      </w:pPr>
      <w:r w:rsidRPr="00DF31BD">
        <w:rPr>
          <w:rFonts w:ascii="Palatino Linotype" w:hAnsi="Palatino Linotype" w:cs="Arial"/>
          <w:b/>
          <w:bCs/>
          <w:sz w:val="18"/>
          <w:szCs w:val="18"/>
        </w:rPr>
        <w:t xml:space="preserve">Source: </w:t>
      </w:r>
      <w:r>
        <w:rPr>
          <w:rFonts w:ascii="Palatino Linotype" w:hAnsi="Palatino Linotype" w:cs="Arial"/>
          <w:b/>
          <w:bCs/>
          <w:sz w:val="18"/>
          <w:szCs w:val="18"/>
        </w:rPr>
        <w:t>MCX, BSE, NCDEX, NSE, ICEX</w:t>
      </w:r>
      <w:r w:rsidRPr="00DF31BD">
        <w:rPr>
          <w:rFonts w:ascii="Palatino Linotype" w:hAnsi="Palatino Linotype" w:cs="Arial"/>
          <w:b/>
          <w:bCs/>
          <w:sz w:val="18"/>
          <w:szCs w:val="18"/>
        </w:rPr>
        <w:t>.</w:t>
      </w:r>
    </w:p>
    <w:p w:rsidR="002C3840" w:rsidRDefault="002C3840" w:rsidP="002C3840">
      <w:pPr>
        <w:jc w:val="both"/>
        <w:rPr>
          <w:rFonts w:ascii="Palatino Linotype" w:hAnsi="Palatino Linotype" w:cs="Arial"/>
          <w:b/>
          <w:bCs/>
          <w:sz w:val="18"/>
          <w:szCs w:val="18"/>
        </w:rPr>
      </w:pPr>
    </w:p>
    <w:p w:rsidR="002C3840" w:rsidRPr="00DF31BD" w:rsidRDefault="002C3840" w:rsidP="002C3840">
      <w:pPr>
        <w:jc w:val="both"/>
        <w:rPr>
          <w:rFonts w:ascii="Palatino Linotype" w:hAnsi="Palatino Linotype" w:cs="Arial"/>
          <w:b/>
          <w:bCs/>
          <w:sz w:val="18"/>
          <w:szCs w:val="18"/>
        </w:rPr>
      </w:pPr>
    </w:p>
    <w:p w:rsidR="002C3840" w:rsidRPr="00FF2B41" w:rsidRDefault="002C3840" w:rsidP="002C3840">
      <w:pPr>
        <w:pStyle w:val="ListParagraph"/>
        <w:numPr>
          <w:ilvl w:val="0"/>
          <w:numId w:val="12"/>
        </w:numPr>
        <w:tabs>
          <w:tab w:val="left" w:pos="567"/>
        </w:tabs>
        <w:spacing w:after="0" w:line="240" w:lineRule="auto"/>
        <w:ind w:left="0" w:firstLine="0"/>
        <w:jc w:val="both"/>
        <w:rPr>
          <w:rFonts w:ascii="Palatino Linotype" w:eastAsia="Times New Roman" w:hAnsi="Palatino Linotype"/>
          <w:b/>
          <w:color w:val="000000"/>
          <w:sz w:val="22"/>
          <w:szCs w:val="22"/>
        </w:rPr>
      </w:pPr>
      <w:r>
        <w:rPr>
          <w:rFonts w:ascii="Palatino Linotype" w:eastAsia="Times New Roman" w:hAnsi="Palatino Linotype"/>
          <w:b/>
          <w:color w:val="000000"/>
          <w:sz w:val="22"/>
          <w:szCs w:val="22"/>
        </w:rPr>
        <w:t xml:space="preserve">Commodity Derivatives </w:t>
      </w:r>
      <w:r w:rsidRPr="00FF2B41">
        <w:rPr>
          <w:rFonts w:ascii="Palatino Linotype" w:eastAsia="Times New Roman" w:hAnsi="Palatino Linotype"/>
          <w:b/>
          <w:color w:val="000000"/>
          <w:sz w:val="22"/>
          <w:szCs w:val="22"/>
        </w:rPr>
        <w:t>Turnover</w:t>
      </w: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 xml:space="preserve">During </w:t>
      </w:r>
      <w:r>
        <w:rPr>
          <w:rFonts w:ascii="Palatino Linotype" w:eastAsia="Times New Roman" w:hAnsi="Palatino Linotype"/>
          <w:color w:val="000000"/>
          <w:sz w:val="22"/>
          <w:szCs w:val="22"/>
        </w:rPr>
        <w:t>July</w:t>
      </w:r>
      <w:r w:rsidRPr="00F111BA">
        <w:rPr>
          <w:rFonts w:ascii="Palatino Linotype" w:eastAsia="Times New Roman" w:hAnsi="Palatino Linotype"/>
          <w:color w:val="000000"/>
          <w:sz w:val="22"/>
          <w:szCs w:val="22"/>
        </w:rPr>
        <w:t xml:space="preserve"> 2021, pan- India turnover of commodity derivatives </w:t>
      </w:r>
      <w:r>
        <w:rPr>
          <w:rFonts w:ascii="Palatino Linotype" w:eastAsia="Times New Roman" w:hAnsi="Palatino Linotype"/>
          <w:color w:val="000000"/>
          <w:sz w:val="22"/>
          <w:szCs w:val="22"/>
        </w:rPr>
        <w:t>increased</w:t>
      </w:r>
      <w:r w:rsidRPr="00F111BA">
        <w:rPr>
          <w:rFonts w:ascii="Palatino Linotype" w:eastAsia="Times New Roman" w:hAnsi="Palatino Linotype"/>
          <w:color w:val="000000"/>
          <w:sz w:val="22"/>
          <w:szCs w:val="22"/>
        </w:rPr>
        <w:t xml:space="preserve"> by </w:t>
      </w:r>
      <w:r>
        <w:rPr>
          <w:rFonts w:ascii="Palatino Linotype" w:eastAsia="Times New Roman" w:hAnsi="Palatino Linotype"/>
          <w:color w:val="000000"/>
          <w:sz w:val="22"/>
          <w:szCs w:val="22"/>
        </w:rPr>
        <w:t>6.8</w:t>
      </w:r>
      <w:r w:rsidRPr="00F111BA">
        <w:rPr>
          <w:rFonts w:ascii="Palatino Linotype" w:eastAsia="Times New Roman" w:hAnsi="Palatino Linotype"/>
          <w:color w:val="000000"/>
          <w:sz w:val="22"/>
          <w:szCs w:val="22"/>
        </w:rPr>
        <w:t xml:space="preserve"> per cent to ₹</w:t>
      </w:r>
      <w:r>
        <w:rPr>
          <w:rFonts w:ascii="Palatino Linotype" w:eastAsia="Times New Roman" w:hAnsi="Palatino Linotype"/>
          <w:color w:val="000000"/>
          <w:sz w:val="22"/>
          <w:szCs w:val="22"/>
        </w:rPr>
        <w:t>8.05</w:t>
      </w:r>
      <w:r w:rsidRPr="00F111BA">
        <w:rPr>
          <w:rFonts w:ascii="Palatino Linotype" w:eastAsia="Times New Roman" w:hAnsi="Palatino Linotype"/>
          <w:color w:val="000000"/>
          <w:sz w:val="22"/>
          <w:szCs w:val="22"/>
        </w:rPr>
        <w:t xml:space="preserve"> lakh crore from ₹</w:t>
      </w:r>
      <w:r>
        <w:rPr>
          <w:rFonts w:ascii="Palatino Linotype" w:eastAsia="Times New Roman" w:hAnsi="Palatino Linotype"/>
          <w:color w:val="000000"/>
          <w:sz w:val="22"/>
          <w:szCs w:val="22"/>
        </w:rPr>
        <w:t>7.53</w:t>
      </w:r>
      <w:r w:rsidRPr="00F111BA">
        <w:rPr>
          <w:rFonts w:ascii="Palatino Linotype" w:eastAsia="Times New Roman" w:hAnsi="Palatino Linotype"/>
          <w:color w:val="000000"/>
          <w:sz w:val="22"/>
          <w:szCs w:val="22"/>
        </w:rPr>
        <w:t xml:space="preserve"> lakh crore in the previous month.  This </w:t>
      </w:r>
      <w:r>
        <w:rPr>
          <w:rFonts w:ascii="Palatino Linotype" w:eastAsia="Times New Roman" w:hAnsi="Palatino Linotype"/>
          <w:color w:val="000000"/>
          <w:sz w:val="22"/>
          <w:szCs w:val="22"/>
        </w:rPr>
        <w:t xml:space="preserve">uptrend </w:t>
      </w:r>
      <w:r w:rsidRPr="00F111BA">
        <w:rPr>
          <w:rFonts w:ascii="Palatino Linotype" w:eastAsia="Times New Roman" w:hAnsi="Palatino Linotype"/>
          <w:color w:val="000000"/>
          <w:sz w:val="22"/>
          <w:szCs w:val="22"/>
        </w:rPr>
        <w:t xml:space="preserve">was driven by </w:t>
      </w:r>
      <w:r>
        <w:rPr>
          <w:rFonts w:ascii="Palatino Linotype" w:eastAsia="Times New Roman" w:hAnsi="Palatino Linotype"/>
          <w:color w:val="000000"/>
          <w:sz w:val="22"/>
          <w:szCs w:val="22"/>
        </w:rPr>
        <w:t>98.1</w:t>
      </w:r>
      <w:r w:rsidRPr="00FB06AA">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in</w:t>
      </w:r>
      <w:r w:rsidRPr="00FB06AA">
        <w:rPr>
          <w:rFonts w:ascii="Palatino Linotype" w:eastAsia="Times New Roman" w:hAnsi="Palatino Linotype"/>
          <w:color w:val="000000"/>
          <w:sz w:val="22"/>
          <w:szCs w:val="22"/>
        </w:rPr>
        <w:t xml:space="preserve">crease in the </w:t>
      </w:r>
      <w:r>
        <w:rPr>
          <w:rFonts w:ascii="Palatino Linotype" w:eastAsia="Times New Roman" w:hAnsi="Palatino Linotype"/>
          <w:color w:val="000000"/>
          <w:sz w:val="22"/>
          <w:szCs w:val="22"/>
        </w:rPr>
        <w:t>turnover of MCX Options.</w:t>
      </w: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F111BA">
        <w:rPr>
          <w:rFonts w:ascii="Palatino Linotype" w:eastAsia="Times New Roman" w:hAnsi="Palatino Linotype"/>
          <w:color w:val="000000"/>
          <w:sz w:val="22"/>
          <w:szCs w:val="22"/>
        </w:rPr>
        <w:t xml:space="preserve">The </w:t>
      </w:r>
      <w:r>
        <w:rPr>
          <w:rFonts w:ascii="Palatino Linotype" w:eastAsia="Times New Roman" w:hAnsi="Palatino Linotype"/>
          <w:color w:val="000000"/>
          <w:sz w:val="22"/>
          <w:szCs w:val="22"/>
        </w:rPr>
        <w:t xml:space="preserve">percentage share of agri and non-agri segments in overall turnover accounted for 7.1 per cent and 92.9 per cent, respectively.  The turnover of agri. segment decreased by 0.6 per cent while that of non-agri segment increased by 7.5 per cent. </w:t>
      </w: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T</w:t>
      </w:r>
      <w:r w:rsidRPr="00F111BA">
        <w:rPr>
          <w:rFonts w:ascii="Palatino Linotype" w:eastAsia="Times New Roman" w:hAnsi="Palatino Linotype"/>
          <w:color w:val="000000"/>
          <w:sz w:val="22"/>
          <w:szCs w:val="22"/>
        </w:rPr>
        <w:t xml:space="preserve">he percentage share of futures and options contracts </w:t>
      </w:r>
      <w:r>
        <w:rPr>
          <w:rFonts w:ascii="Palatino Linotype" w:eastAsia="Times New Roman" w:hAnsi="Palatino Linotype"/>
          <w:color w:val="000000"/>
          <w:sz w:val="22"/>
          <w:szCs w:val="22"/>
        </w:rPr>
        <w:t xml:space="preserve">in overall turnover </w:t>
      </w:r>
      <w:r w:rsidRPr="00F111BA">
        <w:rPr>
          <w:rFonts w:ascii="Palatino Linotype" w:eastAsia="Times New Roman" w:hAnsi="Palatino Linotype"/>
          <w:color w:val="000000"/>
          <w:sz w:val="22"/>
          <w:szCs w:val="22"/>
        </w:rPr>
        <w:t>stood at 83.8 per cent and 16.2 per cent, respectively.</w:t>
      </w:r>
      <w:r>
        <w:rPr>
          <w:rFonts w:ascii="Palatino Linotype" w:eastAsia="Times New Roman" w:hAnsi="Palatino Linotype"/>
          <w:color w:val="000000"/>
          <w:sz w:val="22"/>
          <w:szCs w:val="22"/>
        </w:rPr>
        <w:t xml:space="preserve"> The turnover of futures and options contracts increased by 0.8 per cent and 38.2 per cent, respectively.</w:t>
      </w: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T</w:t>
      </w:r>
      <w:r w:rsidRPr="00F111BA">
        <w:rPr>
          <w:rFonts w:ascii="Palatino Linotype" w:eastAsia="Times New Roman" w:hAnsi="Palatino Linotype"/>
          <w:color w:val="000000"/>
          <w:sz w:val="22"/>
          <w:szCs w:val="22"/>
        </w:rPr>
        <w:t xml:space="preserve">he </w:t>
      </w:r>
      <w:r>
        <w:rPr>
          <w:rFonts w:ascii="Palatino Linotype" w:eastAsia="Times New Roman" w:hAnsi="Palatino Linotype"/>
          <w:color w:val="000000"/>
          <w:sz w:val="22"/>
          <w:szCs w:val="22"/>
        </w:rPr>
        <w:t xml:space="preserve">commodity derivatives </w:t>
      </w:r>
      <w:r w:rsidRPr="00F111BA">
        <w:rPr>
          <w:rFonts w:ascii="Palatino Linotype" w:eastAsia="Times New Roman" w:hAnsi="Palatino Linotype"/>
          <w:color w:val="000000"/>
          <w:sz w:val="22"/>
          <w:szCs w:val="22"/>
        </w:rPr>
        <w:t xml:space="preserve">turnover at </w:t>
      </w:r>
      <w:r>
        <w:rPr>
          <w:rFonts w:ascii="Palatino Linotype" w:eastAsia="Times New Roman" w:hAnsi="Palatino Linotype"/>
          <w:color w:val="000000"/>
          <w:sz w:val="22"/>
          <w:szCs w:val="22"/>
        </w:rPr>
        <w:t>NSE, MCX and NCDEX increased by 40.0 per cent, 8.0 per cent and 5.6 per cent, respectively, while that of ICEX and BSE decreased by 16.3 per cent and 3.6 per cent, respectively. In terms of percentage share</w:t>
      </w:r>
      <w:r w:rsidRPr="00F111BA">
        <w:rPr>
          <w:rFonts w:ascii="Palatino Linotype" w:eastAsia="Times New Roman" w:hAnsi="Palatino Linotype"/>
          <w:color w:val="000000"/>
          <w:sz w:val="22"/>
          <w:szCs w:val="22"/>
        </w:rPr>
        <w:t>, the MCX has the highest market share of 8</w:t>
      </w:r>
      <w:r>
        <w:rPr>
          <w:rFonts w:ascii="Palatino Linotype" w:eastAsia="Times New Roman" w:hAnsi="Palatino Linotype"/>
          <w:color w:val="000000"/>
          <w:sz w:val="22"/>
          <w:szCs w:val="22"/>
        </w:rPr>
        <w:t>5</w:t>
      </w:r>
      <w:r w:rsidRPr="00F111BA">
        <w:rPr>
          <w:rFonts w:ascii="Palatino Linotype" w:eastAsia="Times New Roman" w:hAnsi="Palatino Linotype"/>
          <w:color w:val="000000"/>
          <w:sz w:val="22"/>
          <w:szCs w:val="22"/>
        </w:rPr>
        <w:t>.6 per cent in the total turnover in the commodity derivatives segment, followed by BSE (</w:t>
      </w:r>
      <w:r>
        <w:rPr>
          <w:rFonts w:ascii="Palatino Linotype" w:eastAsia="Times New Roman" w:hAnsi="Palatino Linotype"/>
          <w:color w:val="000000"/>
          <w:sz w:val="22"/>
          <w:szCs w:val="22"/>
        </w:rPr>
        <w:t>8.6</w:t>
      </w:r>
      <w:r w:rsidRPr="00F111BA">
        <w:rPr>
          <w:rFonts w:ascii="Palatino Linotype" w:eastAsia="Times New Roman" w:hAnsi="Palatino Linotype"/>
          <w:color w:val="000000"/>
          <w:sz w:val="22"/>
          <w:szCs w:val="22"/>
        </w:rPr>
        <w:t xml:space="preserve"> per cent), NCDEX (</w:t>
      </w:r>
      <w:r>
        <w:rPr>
          <w:rFonts w:ascii="Palatino Linotype" w:eastAsia="Times New Roman" w:hAnsi="Palatino Linotype"/>
          <w:color w:val="000000"/>
          <w:sz w:val="22"/>
          <w:szCs w:val="22"/>
        </w:rPr>
        <w:t>5.6 per cent), NSE (0.2</w:t>
      </w:r>
      <w:r w:rsidRPr="00F111BA">
        <w:rPr>
          <w:rFonts w:ascii="Palatino Linotype" w:eastAsia="Times New Roman" w:hAnsi="Palatino Linotype"/>
          <w:color w:val="000000"/>
          <w:sz w:val="22"/>
          <w:szCs w:val="22"/>
        </w:rPr>
        <w:t xml:space="preserve"> per cent) and ICEX (0.0 per cent).</w:t>
      </w:r>
    </w:p>
    <w:p w:rsidR="002C3840" w:rsidRDefault="002C3840" w:rsidP="002C3840">
      <w:pPr>
        <w:pStyle w:val="ListParagraph"/>
        <w:spacing w:after="0" w:line="240" w:lineRule="auto"/>
        <w:ind w:left="567"/>
        <w:jc w:val="both"/>
        <w:rPr>
          <w:rFonts w:ascii="Palatino Linotype" w:eastAsia="Times New Roman" w:hAnsi="Palatino Linotype"/>
          <w:color w:val="000000"/>
          <w:sz w:val="22"/>
          <w:szCs w:val="22"/>
        </w:rPr>
      </w:pP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 xml:space="preserve">The turnover at MCX </w:t>
      </w:r>
      <w:r>
        <w:rPr>
          <w:rFonts w:ascii="Palatino Linotype" w:eastAsia="Times New Roman" w:hAnsi="Palatino Linotype"/>
          <w:color w:val="000000"/>
          <w:sz w:val="22"/>
          <w:szCs w:val="22"/>
        </w:rPr>
        <w:t>in</w:t>
      </w:r>
      <w:r w:rsidRPr="009803F8">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8.0</w:t>
      </w:r>
      <w:r w:rsidRPr="009803F8">
        <w:rPr>
          <w:rFonts w:ascii="Palatino Linotype" w:eastAsia="Times New Roman" w:hAnsi="Palatino Linotype"/>
          <w:color w:val="000000"/>
          <w:sz w:val="22"/>
          <w:szCs w:val="22"/>
        </w:rPr>
        <w:t xml:space="preserve"> per cent to ₹ 6</w:t>
      </w:r>
      <w:r>
        <w:rPr>
          <w:rFonts w:ascii="Palatino Linotype" w:eastAsia="Times New Roman" w:hAnsi="Palatino Linotype"/>
          <w:color w:val="000000"/>
          <w:sz w:val="22"/>
          <w:szCs w:val="22"/>
        </w:rPr>
        <w:t>,88,986</w:t>
      </w:r>
      <w:r w:rsidRPr="009803F8">
        <w:rPr>
          <w:rFonts w:ascii="Palatino Linotype" w:eastAsia="Times New Roman" w:hAnsi="Palatino Linotype"/>
          <w:color w:val="000000"/>
          <w:sz w:val="22"/>
          <w:szCs w:val="22"/>
        </w:rPr>
        <w:t xml:space="preserve"> crore during </w:t>
      </w:r>
      <w:r>
        <w:rPr>
          <w:rFonts w:ascii="Palatino Linotype" w:eastAsia="Times New Roman" w:hAnsi="Palatino Linotype"/>
          <w:color w:val="000000"/>
          <w:sz w:val="22"/>
          <w:szCs w:val="22"/>
        </w:rPr>
        <w:t xml:space="preserve">the month.  This uptrend was </w:t>
      </w:r>
      <w:r w:rsidRPr="009803F8">
        <w:rPr>
          <w:rFonts w:ascii="Palatino Linotype" w:eastAsia="Times New Roman" w:hAnsi="Palatino Linotype"/>
          <w:color w:val="000000"/>
          <w:sz w:val="22"/>
          <w:szCs w:val="22"/>
        </w:rPr>
        <w:t xml:space="preserve">driven </w:t>
      </w:r>
      <w:r>
        <w:rPr>
          <w:rFonts w:ascii="Palatino Linotype" w:eastAsia="Times New Roman" w:hAnsi="Palatino Linotype"/>
          <w:color w:val="000000"/>
          <w:sz w:val="22"/>
          <w:szCs w:val="22"/>
        </w:rPr>
        <w:t>by 98.1 per cent increase in turnover of options contracts.  During the month, t</w:t>
      </w:r>
      <w:r w:rsidRPr="009803F8">
        <w:rPr>
          <w:rFonts w:ascii="Palatino Linotype" w:eastAsia="Times New Roman" w:hAnsi="Palatino Linotype"/>
          <w:color w:val="000000"/>
          <w:sz w:val="22"/>
          <w:szCs w:val="22"/>
        </w:rPr>
        <w:t xml:space="preserve">he notional turnover of options contracts at MCX </w:t>
      </w:r>
      <w:r>
        <w:rPr>
          <w:rFonts w:ascii="Palatino Linotype" w:eastAsia="Times New Roman" w:hAnsi="Palatino Linotype"/>
          <w:color w:val="000000"/>
          <w:sz w:val="22"/>
          <w:szCs w:val="22"/>
        </w:rPr>
        <w:t xml:space="preserve">was recorded at </w:t>
      </w:r>
      <w:r w:rsidRPr="009803F8">
        <w:rPr>
          <w:rFonts w:ascii="Palatino Linotype" w:eastAsia="Times New Roman" w:hAnsi="Palatino Linotype"/>
          <w:color w:val="000000"/>
          <w:sz w:val="22"/>
          <w:szCs w:val="22"/>
        </w:rPr>
        <w:t>₹</w:t>
      </w:r>
      <w:r>
        <w:rPr>
          <w:rFonts w:ascii="Palatino Linotype" w:eastAsia="Times New Roman" w:hAnsi="Palatino Linotype"/>
          <w:color w:val="000000"/>
          <w:sz w:val="22"/>
          <w:szCs w:val="22"/>
        </w:rPr>
        <w:t>99,270</w:t>
      </w:r>
      <w:r w:rsidRPr="009803F8">
        <w:rPr>
          <w:rFonts w:ascii="Palatino Linotype" w:eastAsia="Times New Roman" w:hAnsi="Palatino Linotype"/>
          <w:color w:val="000000"/>
          <w:sz w:val="22"/>
          <w:szCs w:val="22"/>
        </w:rPr>
        <w:t xml:space="preserve"> crore.  </w:t>
      </w:r>
    </w:p>
    <w:p w:rsidR="002C3840" w:rsidRPr="009803F8"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sidRPr="009803F8">
        <w:rPr>
          <w:rFonts w:ascii="Palatino Linotype" w:eastAsia="Times New Roman" w:hAnsi="Palatino Linotype"/>
          <w:color w:val="000000"/>
          <w:sz w:val="22"/>
          <w:szCs w:val="22"/>
        </w:rPr>
        <w:t xml:space="preserve">The </w:t>
      </w:r>
      <w:r>
        <w:rPr>
          <w:rFonts w:ascii="Palatino Linotype" w:eastAsia="Times New Roman" w:hAnsi="Palatino Linotype"/>
          <w:color w:val="000000"/>
          <w:sz w:val="22"/>
          <w:szCs w:val="22"/>
        </w:rPr>
        <w:t xml:space="preserve">futures and </w:t>
      </w:r>
      <w:r w:rsidRPr="009803F8">
        <w:rPr>
          <w:rFonts w:ascii="Palatino Linotype" w:eastAsia="Times New Roman" w:hAnsi="Palatino Linotype"/>
          <w:color w:val="000000"/>
          <w:sz w:val="22"/>
          <w:szCs w:val="22"/>
        </w:rPr>
        <w:t xml:space="preserve">options contracts contributed </w:t>
      </w:r>
      <w:r>
        <w:rPr>
          <w:rFonts w:ascii="Palatino Linotype" w:eastAsia="Times New Roman" w:hAnsi="Palatino Linotype"/>
          <w:color w:val="000000"/>
          <w:sz w:val="22"/>
          <w:szCs w:val="22"/>
        </w:rPr>
        <w:t>14.4</w:t>
      </w:r>
      <w:r w:rsidRPr="009803F8">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 xml:space="preserve">and 85.6 per cent </w:t>
      </w:r>
      <w:r w:rsidRPr="009803F8">
        <w:rPr>
          <w:rFonts w:ascii="Palatino Linotype" w:eastAsia="Times New Roman" w:hAnsi="Palatino Linotype"/>
          <w:color w:val="000000"/>
          <w:sz w:val="22"/>
          <w:szCs w:val="22"/>
        </w:rPr>
        <w:t>to the total turnover at MCX.</w:t>
      </w:r>
    </w:p>
    <w:p w:rsidR="002C3840"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lastRenderedPageBreak/>
        <w:t>The turnover of options contracts in energy and bullion segment which contribute 80 per cent and 19.9 per cent to the total turnover increased by 110.8 per cent and 59.7 per cent,</w:t>
      </w:r>
      <w:r w:rsidRPr="009803F8">
        <w:rPr>
          <w:rFonts w:ascii="Palatino Linotype" w:eastAsia="Times New Roman" w:hAnsi="Palatino Linotype"/>
          <w:color w:val="000000"/>
          <w:sz w:val="22"/>
          <w:szCs w:val="22"/>
        </w:rPr>
        <w:t xml:space="preserve"> respectively. </w:t>
      </w:r>
      <w:r>
        <w:rPr>
          <w:rFonts w:ascii="Palatino Linotype" w:eastAsia="Times New Roman" w:hAnsi="Palatino Linotype"/>
          <w:color w:val="000000"/>
          <w:sz w:val="22"/>
          <w:szCs w:val="22"/>
        </w:rPr>
        <w:t>On the other hand</w:t>
      </w:r>
      <w:r w:rsidRPr="009803F8">
        <w:rPr>
          <w:rFonts w:ascii="Palatino Linotype" w:eastAsia="Times New Roman" w:hAnsi="Palatino Linotype"/>
          <w:color w:val="000000"/>
          <w:sz w:val="22"/>
          <w:szCs w:val="22"/>
        </w:rPr>
        <w:t xml:space="preserve">, </w:t>
      </w:r>
      <w:r>
        <w:rPr>
          <w:rFonts w:ascii="Palatino Linotype" w:eastAsia="Times New Roman" w:hAnsi="Palatino Linotype"/>
          <w:color w:val="000000"/>
          <w:sz w:val="22"/>
          <w:szCs w:val="22"/>
        </w:rPr>
        <w:t xml:space="preserve">the </w:t>
      </w:r>
      <w:r w:rsidRPr="009803F8">
        <w:rPr>
          <w:rFonts w:ascii="Palatino Linotype" w:eastAsia="Times New Roman" w:hAnsi="Palatino Linotype"/>
          <w:color w:val="000000"/>
          <w:sz w:val="22"/>
          <w:szCs w:val="22"/>
        </w:rPr>
        <w:t xml:space="preserve">turnover of agri. </w:t>
      </w:r>
      <w:r>
        <w:rPr>
          <w:rFonts w:ascii="Palatino Linotype" w:eastAsia="Times New Roman" w:hAnsi="Palatino Linotype"/>
          <w:color w:val="000000"/>
          <w:sz w:val="22"/>
          <w:szCs w:val="22"/>
        </w:rPr>
        <w:t>futures and base metal futures de</w:t>
      </w:r>
      <w:r w:rsidRPr="009803F8">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20.9</w:t>
      </w:r>
      <w:r w:rsidRPr="009803F8">
        <w:rPr>
          <w:rFonts w:ascii="Palatino Linotype" w:eastAsia="Times New Roman" w:hAnsi="Palatino Linotype"/>
          <w:color w:val="000000"/>
          <w:sz w:val="22"/>
          <w:szCs w:val="22"/>
        </w:rPr>
        <w:t xml:space="preserve"> per cent and </w:t>
      </w:r>
      <w:r>
        <w:rPr>
          <w:rFonts w:ascii="Palatino Linotype" w:eastAsia="Times New Roman" w:hAnsi="Palatino Linotype"/>
          <w:color w:val="000000"/>
          <w:sz w:val="22"/>
          <w:szCs w:val="22"/>
        </w:rPr>
        <w:t>9.3</w:t>
      </w:r>
      <w:r w:rsidRPr="009803F8">
        <w:rPr>
          <w:rFonts w:ascii="Palatino Linotype" w:eastAsia="Times New Roman" w:hAnsi="Palatino Linotype"/>
          <w:color w:val="000000"/>
          <w:sz w:val="22"/>
          <w:szCs w:val="22"/>
        </w:rPr>
        <w:t xml:space="preserve"> per cent, respectively. </w:t>
      </w:r>
    </w:p>
    <w:p w:rsidR="002C3840" w:rsidRPr="00C730D1"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 xml:space="preserve">While the </w:t>
      </w:r>
      <w:r w:rsidRPr="009803F8">
        <w:rPr>
          <w:rFonts w:ascii="Palatino Linotype" w:eastAsia="Times New Roman" w:hAnsi="Palatino Linotype"/>
          <w:color w:val="000000"/>
          <w:sz w:val="22"/>
          <w:szCs w:val="22"/>
        </w:rPr>
        <w:t xml:space="preserve">turnover in iCOMDEX bullion </w:t>
      </w:r>
      <w:r>
        <w:rPr>
          <w:rFonts w:ascii="Palatino Linotype" w:eastAsia="Times New Roman" w:hAnsi="Palatino Linotype"/>
          <w:color w:val="000000"/>
          <w:sz w:val="22"/>
          <w:szCs w:val="22"/>
        </w:rPr>
        <w:t xml:space="preserve">index decreased by 16.6 per cent, turnover in </w:t>
      </w:r>
      <w:r w:rsidRPr="009803F8">
        <w:rPr>
          <w:rFonts w:ascii="Palatino Linotype" w:eastAsia="Times New Roman" w:hAnsi="Palatino Linotype"/>
          <w:color w:val="000000"/>
          <w:sz w:val="22"/>
          <w:szCs w:val="22"/>
        </w:rPr>
        <w:t xml:space="preserve">iCOMDEX metal index </w:t>
      </w:r>
      <w:r>
        <w:rPr>
          <w:rFonts w:ascii="Palatino Linotype" w:eastAsia="Times New Roman" w:hAnsi="Palatino Linotype"/>
          <w:color w:val="000000"/>
          <w:sz w:val="22"/>
          <w:szCs w:val="22"/>
        </w:rPr>
        <w:t>in</w:t>
      </w:r>
      <w:r w:rsidRPr="009803F8">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16.5</w:t>
      </w:r>
      <w:r w:rsidRPr="009803F8">
        <w:rPr>
          <w:rFonts w:ascii="Palatino Linotype" w:eastAsia="Times New Roman" w:hAnsi="Palatino Linotype"/>
          <w:color w:val="000000"/>
          <w:sz w:val="22"/>
          <w:szCs w:val="22"/>
        </w:rPr>
        <w:t xml:space="preserve"> per cent</w:t>
      </w:r>
      <w:r>
        <w:rPr>
          <w:rFonts w:ascii="Palatino Linotype" w:eastAsia="Times New Roman" w:hAnsi="Palatino Linotype"/>
          <w:color w:val="000000"/>
          <w:sz w:val="22"/>
          <w:szCs w:val="22"/>
        </w:rPr>
        <w:t xml:space="preserve"> during the month</w:t>
      </w:r>
      <w:r w:rsidRPr="00C730D1">
        <w:rPr>
          <w:rFonts w:ascii="Palatino Linotype" w:eastAsia="Times New Roman" w:hAnsi="Palatino Linotype"/>
          <w:color w:val="000000"/>
          <w:sz w:val="22"/>
          <w:szCs w:val="22"/>
        </w:rPr>
        <w:t>.</w:t>
      </w:r>
    </w:p>
    <w:p w:rsidR="002C3840" w:rsidRPr="009803F8" w:rsidRDefault="002C3840" w:rsidP="002C3840">
      <w:pPr>
        <w:pStyle w:val="ListParagraph"/>
        <w:numPr>
          <w:ilvl w:val="0"/>
          <w:numId w:val="13"/>
        </w:numPr>
        <w:spacing w:after="0" w:line="240" w:lineRule="auto"/>
        <w:ind w:left="567" w:hanging="526"/>
        <w:jc w:val="both"/>
        <w:rPr>
          <w:rFonts w:ascii="Palatino Linotype" w:eastAsia="Times New Roman" w:hAnsi="Palatino Linotype"/>
          <w:color w:val="000000"/>
          <w:sz w:val="22"/>
          <w:szCs w:val="22"/>
        </w:rPr>
      </w:pPr>
      <w:r>
        <w:rPr>
          <w:rFonts w:ascii="Palatino Linotype" w:eastAsia="Times New Roman" w:hAnsi="Palatino Linotype"/>
          <w:color w:val="000000"/>
          <w:sz w:val="22"/>
          <w:szCs w:val="22"/>
        </w:rPr>
        <w:t>During July</w:t>
      </w:r>
      <w:r w:rsidRPr="009803F8">
        <w:rPr>
          <w:rFonts w:ascii="Palatino Linotype" w:eastAsia="Times New Roman" w:hAnsi="Palatino Linotype"/>
          <w:color w:val="000000"/>
          <w:sz w:val="22"/>
          <w:szCs w:val="22"/>
        </w:rPr>
        <w:t xml:space="preserve"> 2021, the total turnover at BSE </w:t>
      </w:r>
      <w:r>
        <w:rPr>
          <w:rFonts w:ascii="Palatino Linotype" w:eastAsia="Times New Roman" w:hAnsi="Palatino Linotype"/>
          <w:color w:val="000000"/>
          <w:sz w:val="22"/>
          <w:szCs w:val="22"/>
        </w:rPr>
        <w:t>de</w:t>
      </w:r>
      <w:r w:rsidRPr="009803F8">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 xml:space="preserve">3.6 per cent to ₹69,306 </w:t>
      </w:r>
      <w:r w:rsidRPr="009803F8">
        <w:rPr>
          <w:rFonts w:ascii="Palatino Linotype" w:eastAsia="Times New Roman" w:hAnsi="Palatino Linotype"/>
          <w:color w:val="000000"/>
          <w:sz w:val="22"/>
          <w:szCs w:val="22"/>
        </w:rPr>
        <w:t>crore</w:t>
      </w:r>
      <w:r>
        <w:rPr>
          <w:rFonts w:ascii="Palatino Linotype" w:eastAsia="Times New Roman" w:hAnsi="Palatino Linotype"/>
          <w:color w:val="000000"/>
          <w:sz w:val="22"/>
          <w:szCs w:val="22"/>
        </w:rPr>
        <w:t>, on account of decrease in the turnover of options contracts on bullion</w:t>
      </w:r>
      <w:r w:rsidRPr="009803F8">
        <w:rPr>
          <w:rFonts w:ascii="Palatino Linotype" w:eastAsia="Times New Roman" w:hAnsi="Palatino Linotype"/>
          <w:color w:val="000000"/>
          <w:sz w:val="22"/>
          <w:szCs w:val="22"/>
        </w:rPr>
        <w:t xml:space="preserve">.  </w:t>
      </w:r>
      <w:r>
        <w:rPr>
          <w:rFonts w:ascii="Palatino Linotype" w:eastAsia="Times New Roman" w:hAnsi="Palatino Linotype"/>
          <w:color w:val="000000"/>
          <w:sz w:val="22"/>
          <w:szCs w:val="22"/>
        </w:rPr>
        <w:t>The options contracts</w:t>
      </w:r>
      <w:r w:rsidRPr="009803F8">
        <w:rPr>
          <w:rFonts w:ascii="Palatino Linotype" w:eastAsia="Times New Roman" w:hAnsi="Palatino Linotype"/>
          <w:color w:val="000000"/>
          <w:sz w:val="22"/>
          <w:szCs w:val="22"/>
        </w:rPr>
        <w:t xml:space="preserve"> on </w:t>
      </w:r>
      <w:r>
        <w:rPr>
          <w:rFonts w:ascii="Palatino Linotype" w:eastAsia="Times New Roman" w:hAnsi="Palatino Linotype"/>
          <w:color w:val="000000"/>
          <w:sz w:val="22"/>
          <w:szCs w:val="22"/>
        </w:rPr>
        <w:t xml:space="preserve">gold mini </w:t>
      </w:r>
      <w:r w:rsidRPr="009803F8">
        <w:rPr>
          <w:rFonts w:ascii="Palatino Linotype" w:eastAsia="Times New Roman" w:hAnsi="Palatino Linotype"/>
          <w:color w:val="000000"/>
          <w:sz w:val="22"/>
          <w:szCs w:val="22"/>
        </w:rPr>
        <w:t xml:space="preserve">accounted </w:t>
      </w:r>
      <w:r>
        <w:rPr>
          <w:rFonts w:ascii="Palatino Linotype" w:eastAsia="Times New Roman" w:hAnsi="Palatino Linotype"/>
          <w:color w:val="000000"/>
          <w:sz w:val="22"/>
          <w:szCs w:val="22"/>
        </w:rPr>
        <w:t>for 99.7 per cent o</w:t>
      </w:r>
      <w:r w:rsidRPr="009803F8">
        <w:rPr>
          <w:rFonts w:ascii="Palatino Linotype" w:eastAsia="Times New Roman" w:hAnsi="Palatino Linotype"/>
          <w:color w:val="000000"/>
          <w:sz w:val="22"/>
          <w:szCs w:val="22"/>
        </w:rPr>
        <w:t xml:space="preserve">f the </w:t>
      </w:r>
      <w:r>
        <w:rPr>
          <w:rFonts w:ascii="Palatino Linotype" w:eastAsia="Times New Roman" w:hAnsi="Palatino Linotype"/>
          <w:color w:val="000000"/>
          <w:sz w:val="22"/>
          <w:szCs w:val="22"/>
        </w:rPr>
        <w:t xml:space="preserve">total </w:t>
      </w:r>
      <w:r w:rsidRPr="009803F8">
        <w:rPr>
          <w:rFonts w:ascii="Palatino Linotype" w:eastAsia="Times New Roman" w:hAnsi="Palatino Linotype"/>
          <w:color w:val="000000"/>
          <w:sz w:val="22"/>
          <w:szCs w:val="22"/>
        </w:rPr>
        <w:t xml:space="preserve">turnover </w:t>
      </w:r>
      <w:r>
        <w:rPr>
          <w:rFonts w:ascii="Palatino Linotype" w:eastAsia="Times New Roman" w:hAnsi="Palatino Linotype"/>
          <w:color w:val="000000"/>
          <w:sz w:val="22"/>
          <w:szCs w:val="22"/>
        </w:rPr>
        <w:t>in</w:t>
      </w:r>
      <w:r w:rsidRPr="009803F8">
        <w:rPr>
          <w:rFonts w:ascii="Palatino Linotype" w:eastAsia="Times New Roman" w:hAnsi="Palatino Linotype"/>
          <w:color w:val="000000"/>
          <w:sz w:val="22"/>
          <w:szCs w:val="22"/>
        </w:rPr>
        <w:t xml:space="preserve"> commodity derivatives contracts </w:t>
      </w:r>
      <w:r>
        <w:rPr>
          <w:rFonts w:ascii="Palatino Linotype" w:eastAsia="Times New Roman" w:hAnsi="Palatino Linotype"/>
          <w:color w:val="000000"/>
          <w:sz w:val="22"/>
          <w:szCs w:val="22"/>
        </w:rPr>
        <w:t xml:space="preserve">at BSE. </w:t>
      </w:r>
    </w:p>
    <w:p w:rsidR="002C3840" w:rsidRPr="00391822" w:rsidRDefault="002C3840" w:rsidP="002C3840">
      <w:pPr>
        <w:pStyle w:val="ListParagraph"/>
        <w:numPr>
          <w:ilvl w:val="0"/>
          <w:numId w:val="13"/>
        </w:numPr>
        <w:spacing w:after="0" w:line="240" w:lineRule="auto"/>
        <w:ind w:left="567" w:hanging="526"/>
        <w:jc w:val="both"/>
        <w:rPr>
          <w:rFonts w:ascii="Palatino Linotype" w:hAnsi="Palatino Linotype" w:cs="Arial"/>
          <w:bCs/>
        </w:rPr>
      </w:pPr>
      <w:r w:rsidRPr="009803F8">
        <w:rPr>
          <w:rFonts w:ascii="Palatino Linotype" w:eastAsia="Times New Roman" w:hAnsi="Palatino Linotype"/>
          <w:color w:val="000000"/>
          <w:sz w:val="22"/>
          <w:szCs w:val="22"/>
        </w:rPr>
        <w:t xml:space="preserve">During the month, the total turnover at NCDEX </w:t>
      </w:r>
      <w:r>
        <w:rPr>
          <w:rFonts w:ascii="Palatino Linotype" w:eastAsia="Times New Roman" w:hAnsi="Palatino Linotype"/>
          <w:color w:val="000000"/>
          <w:sz w:val="22"/>
          <w:szCs w:val="22"/>
        </w:rPr>
        <w:t>in</w:t>
      </w:r>
      <w:r w:rsidRPr="009803F8">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5.6</w:t>
      </w:r>
      <w:r w:rsidRPr="009803F8">
        <w:rPr>
          <w:rFonts w:ascii="Palatino Linotype" w:eastAsia="Times New Roman" w:hAnsi="Palatino Linotype"/>
          <w:color w:val="000000"/>
          <w:sz w:val="22"/>
          <w:szCs w:val="22"/>
        </w:rPr>
        <w:t xml:space="preserve"> per cent to ₹</w:t>
      </w:r>
      <w:r>
        <w:rPr>
          <w:rFonts w:ascii="Palatino Linotype" w:eastAsia="Times New Roman" w:hAnsi="Palatino Linotype"/>
          <w:color w:val="000000"/>
          <w:sz w:val="22"/>
          <w:szCs w:val="22"/>
        </w:rPr>
        <w:t>45,179</w:t>
      </w:r>
      <w:r w:rsidRPr="009803F8">
        <w:rPr>
          <w:rFonts w:ascii="Palatino Linotype" w:eastAsia="Times New Roman" w:hAnsi="Palatino Linotype"/>
          <w:color w:val="000000"/>
          <w:sz w:val="22"/>
          <w:szCs w:val="22"/>
        </w:rPr>
        <w:t xml:space="preserve"> crore</w:t>
      </w:r>
      <w:r>
        <w:rPr>
          <w:rFonts w:ascii="Palatino Linotype" w:eastAsia="Times New Roman" w:hAnsi="Palatino Linotype"/>
          <w:color w:val="000000"/>
          <w:sz w:val="22"/>
          <w:szCs w:val="22"/>
        </w:rPr>
        <w:t xml:space="preserve"> from </w:t>
      </w:r>
      <w:r w:rsidRPr="009803F8">
        <w:rPr>
          <w:rFonts w:ascii="Palatino Linotype" w:eastAsia="Times New Roman" w:hAnsi="Palatino Linotype"/>
          <w:color w:val="000000"/>
          <w:sz w:val="22"/>
          <w:szCs w:val="22"/>
        </w:rPr>
        <w:t>₹</w:t>
      </w:r>
      <w:r>
        <w:rPr>
          <w:rFonts w:ascii="Palatino Linotype" w:eastAsia="Times New Roman" w:hAnsi="Palatino Linotype"/>
          <w:color w:val="000000"/>
          <w:sz w:val="22"/>
          <w:szCs w:val="22"/>
        </w:rPr>
        <w:t>42,923 crore in the previous month</w:t>
      </w:r>
      <w:r w:rsidRPr="00FF2B41">
        <w:rPr>
          <w:rFonts w:ascii="Palatino Linotype" w:eastAsia="Times New Roman" w:hAnsi="Palatino Linotype"/>
          <w:color w:val="000000"/>
          <w:sz w:val="22"/>
          <w:szCs w:val="22"/>
        </w:rPr>
        <w:t xml:space="preserve">.  This is on account of </w:t>
      </w:r>
      <w:r>
        <w:rPr>
          <w:rFonts w:ascii="Palatino Linotype" w:eastAsia="Times New Roman" w:hAnsi="Palatino Linotype"/>
          <w:color w:val="000000"/>
          <w:sz w:val="22"/>
          <w:szCs w:val="22"/>
        </w:rPr>
        <w:t xml:space="preserve">increase in turnover of Soybean by 34.6 per cent, Guar </w:t>
      </w:r>
      <w:r w:rsidRPr="00391822">
        <w:rPr>
          <w:rFonts w:ascii="Palatino Linotype" w:eastAsia="Times New Roman" w:hAnsi="Palatino Linotype"/>
          <w:color w:val="000000"/>
          <w:sz w:val="22"/>
          <w:szCs w:val="22"/>
        </w:rPr>
        <w:t>Seed by 26.2</w:t>
      </w:r>
      <w:r>
        <w:rPr>
          <w:rFonts w:ascii="Palatino Linotype" w:eastAsia="Times New Roman" w:hAnsi="Palatino Linotype"/>
          <w:color w:val="000000"/>
          <w:sz w:val="22"/>
          <w:szCs w:val="22"/>
        </w:rPr>
        <w:t xml:space="preserve"> per cent</w:t>
      </w:r>
      <w:r w:rsidRPr="00391822">
        <w:rPr>
          <w:rFonts w:ascii="Palatino Linotype" w:eastAsia="Times New Roman" w:hAnsi="Palatino Linotype"/>
          <w:color w:val="000000"/>
          <w:sz w:val="22"/>
          <w:szCs w:val="22"/>
        </w:rPr>
        <w:t>, Guargum by 33.4</w:t>
      </w:r>
      <w:r>
        <w:rPr>
          <w:rFonts w:ascii="Palatino Linotype" w:eastAsia="Times New Roman" w:hAnsi="Palatino Linotype"/>
          <w:color w:val="000000"/>
          <w:sz w:val="22"/>
          <w:szCs w:val="22"/>
        </w:rPr>
        <w:t xml:space="preserve"> per cent</w:t>
      </w:r>
      <w:r w:rsidRPr="00391822">
        <w:rPr>
          <w:rFonts w:ascii="Palatino Linotype" w:eastAsia="Times New Roman" w:hAnsi="Palatino Linotype"/>
          <w:color w:val="000000"/>
          <w:sz w:val="22"/>
          <w:szCs w:val="22"/>
        </w:rPr>
        <w:t xml:space="preserve"> and castor sees by 22.9</w:t>
      </w:r>
      <w:r>
        <w:rPr>
          <w:rFonts w:ascii="Palatino Linotype" w:eastAsia="Times New Roman" w:hAnsi="Palatino Linotype"/>
          <w:color w:val="000000"/>
          <w:sz w:val="22"/>
          <w:szCs w:val="22"/>
        </w:rPr>
        <w:t xml:space="preserve"> per cent</w:t>
      </w:r>
      <w:r w:rsidRPr="00391822">
        <w:rPr>
          <w:rFonts w:ascii="Palatino Linotype" w:eastAsia="Times New Roman" w:hAnsi="Palatino Linotype"/>
          <w:color w:val="000000"/>
          <w:sz w:val="22"/>
          <w:szCs w:val="22"/>
        </w:rPr>
        <w:t>.</w:t>
      </w:r>
      <w:r>
        <w:rPr>
          <w:rFonts w:ascii="Palatino Linotype" w:eastAsia="Times New Roman" w:hAnsi="Palatino Linotype"/>
          <w:color w:val="000000"/>
          <w:sz w:val="22"/>
          <w:szCs w:val="22"/>
        </w:rPr>
        <w:t xml:space="preserve"> </w:t>
      </w:r>
      <w:r w:rsidRPr="00391822">
        <w:rPr>
          <w:rFonts w:ascii="Palatino Linotype" w:eastAsia="Times New Roman" w:hAnsi="Palatino Linotype"/>
          <w:color w:val="000000"/>
          <w:sz w:val="22"/>
          <w:szCs w:val="22"/>
        </w:rPr>
        <w:t xml:space="preserve">The turnover in Agridex futures index increased from </w:t>
      </w:r>
      <w:r w:rsidRPr="00391822">
        <w:rPr>
          <w:rFonts w:ascii="Times New Roman" w:eastAsia="Times New Roman" w:hAnsi="Times New Roman"/>
          <w:color w:val="000000"/>
          <w:sz w:val="22"/>
          <w:szCs w:val="22"/>
        </w:rPr>
        <w:t>₹</w:t>
      </w:r>
      <w:r>
        <w:rPr>
          <w:rFonts w:ascii="Palatino Linotype" w:eastAsia="Times New Roman" w:hAnsi="Palatino Linotype"/>
          <w:color w:val="000000"/>
          <w:sz w:val="22"/>
          <w:szCs w:val="22"/>
        </w:rPr>
        <w:t>14.3</w:t>
      </w:r>
      <w:r w:rsidRPr="00391822">
        <w:rPr>
          <w:rFonts w:ascii="Palatino Linotype" w:eastAsia="Times New Roman" w:hAnsi="Palatino Linotype"/>
          <w:color w:val="000000"/>
          <w:sz w:val="22"/>
          <w:szCs w:val="22"/>
        </w:rPr>
        <w:t xml:space="preserve"> crore in </w:t>
      </w:r>
      <w:r>
        <w:rPr>
          <w:rFonts w:ascii="Palatino Linotype" w:eastAsia="Times New Roman" w:hAnsi="Palatino Linotype"/>
          <w:color w:val="000000"/>
          <w:sz w:val="22"/>
          <w:szCs w:val="22"/>
        </w:rPr>
        <w:t>June</w:t>
      </w:r>
      <w:r w:rsidRPr="00391822">
        <w:rPr>
          <w:rFonts w:ascii="Palatino Linotype" w:eastAsia="Times New Roman" w:hAnsi="Palatino Linotype"/>
          <w:color w:val="000000"/>
          <w:sz w:val="22"/>
          <w:szCs w:val="22"/>
        </w:rPr>
        <w:t xml:space="preserve"> 2021 to </w:t>
      </w:r>
      <w:r w:rsidRPr="00391822">
        <w:rPr>
          <w:rFonts w:ascii="Times New Roman" w:eastAsia="Times New Roman" w:hAnsi="Times New Roman"/>
          <w:color w:val="000000"/>
          <w:sz w:val="22"/>
          <w:szCs w:val="22"/>
        </w:rPr>
        <w:t>₹</w:t>
      </w:r>
      <w:r>
        <w:rPr>
          <w:rFonts w:ascii="Palatino Linotype" w:eastAsia="Times New Roman" w:hAnsi="Palatino Linotype"/>
          <w:color w:val="000000"/>
          <w:sz w:val="22"/>
          <w:szCs w:val="22"/>
        </w:rPr>
        <w:t>12.2</w:t>
      </w:r>
      <w:r w:rsidRPr="00391822">
        <w:rPr>
          <w:rFonts w:ascii="Palatino Linotype" w:eastAsia="Times New Roman" w:hAnsi="Palatino Linotype"/>
          <w:color w:val="000000"/>
          <w:sz w:val="22"/>
          <w:szCs w:val="22"/>
        </w:rPr>
        <w:t xml:space="preserve"> crore in </w:t>
      </w:r>
      <w:r>
        <w:rPr>
          <w:rFonts w:ascii="Palatino Linotype" w:eastAsia="Times New Roman" w:hAnsi="Palatino Linotype"/>
          <w:color w:val="000000"/>
          <w:sz w:val="22"/>
          <w:szCs w:val="22"/>
        </w:rPr>
        <w:t>July</w:t>
      </w:r>
      <w:r w:rsidRPr="00391822">
        <w:rPr>
          <w:rFonts w:ascii="Palatino Linotype" w:eastAsia="Times New Roman" w:hAnsi="Palatino Linotype"/>
          <w:color w:val="000000"/>
          <w:sz w:val="22"/>
          <w:szCs w:val="22"/>
        </w:rPr>
        <w:t xml:space="preserve"> 2021. Similarly, the turnover in steel long contracts of non-agri. segment increased</w:t>
      </w:r>
      <w:r w:rsidRPr="00391822">
        <w:rPr>
          <w:rFonts w:ascii="Palatino Linotype" w:hAnsi="Palatino Linotype" w:cs="Arial"/>
          <w:bCs/>
          <w:sz w:val="22"/>
          <w:szCs w:val="22"/>
        </w:rPr>
        <w:t xml:space="preserve"> from </w:t>
      </w:r>
      <w:r w:rsidRPr="00391822">
        <w:rPr>
          <w:rFonts w:ascii="Times New Roman" w:hAnsi="Times New Roman"/>
          <w:bCs/>
          <w:sz w:val="22"/>
          <w:szCs w:val="22"/>
        </w:rPr>
        <w:t>₹</w:t>
      </w:r>
      <w:r w:rsidRPr="00391822">
        <w:rPr>
          <w:rFonts w:ascii="Palatino Linotype" w:hAnsi="Palatino Linotype" w:cs="Arial"/>
          <w:bCs/>
          <w:sz w:val="22"/>
          <w:szCs w:val="22"/>
        </w:rPr>
        <w:t xml:space="preserve">15.9 crore in previous month to </w:t>
      </w:r>
      <w:r w:rsidRPr="00391822">
        <w:rPr>
          <w:rFonts w:ascii="Times New Roman" w:hAnsi="Times New Roman"/>
          <w:bCs/>
          <w:sz w:val="22"/>
          <w:szCs w:val="22"/>
        </w:rPr>
        <w:t xml:space="preserve">₹17.5 </w:t>
      </w:r>
      <w:r w:rsidRPr="00391822">
        <w:rPr>
          <w:rFonts w:ascii="Palatino Linotype" w:hAnsi="Palatino Linotype" w:cs="Arial"/>
          <w:bCs/>
          <w:sz w:val="22"/>
          <w:szCs w:val="22"/>
        </w:rPr>
        <w:t>crore during Ju</w:t>
      </w:r>
      <w:r>
        <w:rPr>
          <w:rFonts w:ascii="Palatino Linotype" w:hAnsi="Palatino Linotype" w:cs="Arial"/>
          <w:bCs/>
          <w:sz w:val="22"/>
          <w:szCs w:val="22"/>
        </w:rPr>
        <w:t xml:space="preserve">ly </w:t>
      </w:r>
      <w:r w:rsidRPr="00391822">
        <w:rPr>
          <w:rFonts w:ascii="Palatino Linotype" w:hAnsi="Palatino Linotype" w:cs="Arial"/>
          <w:bCs/>
          <w:sz w:val="22"/>
          <w:szCs w:val="22"/>
        </w:rPr>
        <w:t>2021.</w:t>
      </w:r>
      <w:r>
        <w:rPr>
          <w:rFonts w:ascii="Palatino Linotype" w:hAnsi="Palatino Linotype" w:cs="Arial"/>
          <w:bCs/>
          <w:sz w:val="22"/>
          <w:szCs w:val="22"/>
        </w:rPr>
        <w:t xml:space="preserve"> The turnover of refined soy oil which contributed 26% to the total turnover decrease by -6.9 per cent. </w:t>
      </w:r>
    </w:p>
    <w:p w:rsidR="002C3840" w:rsidRDefault="002C3840" w:rsidP="002C3840">
      <w:pPr>
        <w:pStyle w:val="ListParagraph"/>
        <w:numPr>
          <w:ilvl w:val="0"/>
          <w:numId w:val="13"/>
        </w:numPr>
        <w:spacing w:after="0" w:line="240" w:lineRule="auto"/>
        <w:ind w:left="567" w:hanging="526"/>
        <w:jc w:val="both"/>
        <w:rPr>
          <w:rFonts w:ascii="Palatino Linotype" w:hAnsi="Palatino Linotype" w:cs="Arial"/>
          <w:bCs/>
          <w:sz w:val="22"/>
          <w:szCs w:val="22"/>
        </w:rPr>
      </w:pPr>
      <w:r w:rsidRPr="009803F8">
        <w:rPr>
          <w:rFonts w:ascii="Palatino Linotype" w:hAnsi="Palatino Linotype" w:cs="Arial"/>
          <w:bCs/>
          <w:sz w:val="22"/>
          <w:szCs w:val="22"/>
        </w:rPr>
        <w:t xml:space="preserve">The total turnover at NSE </w:t>
      </w:r>
      <w:r>
        <w:rPr>
          <w:rFonts w:ascii="Palatino Linotype" w:hAnsi="Palatino Linotype" w:cs="Arial"/>
          <w:bCs/>
          <w:sz w:val="22"/>
          <w:szCs w:val="22"/>
        </w:rPr>
        <w:t>in</w:t>
      </w:r>
      <w:r w:rsidRPr="009803F8">
        <w:rPr>
          <w:rFonts w:ascii="Palatino Linotype" w:hAnsi="Palatino Linotype" w:cs="Arial"/>
          <w:bCs/>
          <w:sz w:val="22"/>
          <w:szCs w:val="22"/>
        </w:rPr>
        <w:t xml:space="preserve">creased by </w:t>
      </w:r>
      <w:r>
        <w:rPr>
          <w:rFonts w:ascii="Palatino Linotype" w:hAnsi="Palatino Linotype" w:cs="Arial"/>
          <w:bCs/>
          <w:sz w:val="22"/>
          <w:szCs w:val="22"/>
        </w:rPr>
        <w:t>39.9</w:t>
      </w:r>
      <w:r w:rsidRPr="009803F8">
        <w:rPr>
          <w:rFonts w:ascii="Palatino Linotype" w:hAnsi="Palatino Linotype" w:cs="Arial"/>
          <w:bCs/>
          <w:sz w:val="22"/>
          <w:szCs w:val="22"/>
        </w:rPr>
        <w:t xml:space="preserve"> per cent to </w:t>
      </w:r>
      <w:r w:rsidRPr="009803F8">
        <w:rPr>
          <w:rFonts w:ascii="Times New Roman" w:hAnsi="Times New Roman"/>
          <w:bCs/>
          <w:sz w:val="22"/>
          <w:szCs w:val="22"/>
        </w:rPr>
        <w:t>₹</w:t>
      </w:r>
      <w:r w:rsidRPr="009803F8">
        <w:rPr>
          <w:rFonts w:ascii="Palatino Linotype" w:hAnsi="Palatino Linotype" w:cs="Arial"/>
          <w:bCs/>
          <w:sz w:val="22"/>
          <w:szCs w:val="22"/>
        </w:rPr>
        <w:t>1</w:t>
      </w:r>
      <w:r>
        <w:rPr>
          <w:rFonts w:ascii="Palatino Linotype" w:hAnsi="Palatino Linotype" w:cs="Arial"/>
          <w:bCs/>
          <w:sz w:val="22"/>
          <w:szCs w:val="22"/>
        </w:rPr>
        <w:t>,570</w:t>
      </w:r>
      <w:r w:rsidRPr="009803F8">
        <w:rPr>
          <w:rFonts w:ascii="Palatino Linotype" w:hAnsi="Palatino Linotype" w:cs="Arial"/>
          <w:bCs/>
          <w:sz w:val="22"/>
          <w:szCs w:val="22"/>
        </w:rPr>
        <w:t xml:space="preserve"> crore in </w:t>
      </w:r>
      <w:r>
        <w:rPr>
          <w:rFonts w:ascii="Palatino Linotype" w:hAnsi="Palatino Linotype" w:cs="Arial"/>
          <w:bCs/>
          <w:sz w:val="22"/>
          <w:szCs w:val="22"/>
        </w:rPr>
        <w:t>July</w:t>
      </w:r>
      <w:r w:rsidRPr="009803F8">
        <w:rPr>
          <w:rFonts w:ascii="Palatino Linotype" w:hAnsi="Palatino Linotype" w:cs="Arial"/>
          <w:bCs/>
          <w:sz w:val="22"/>
          <w:szCs w:val="22"/>
        </w:rPr>
        <w:t xml:space="preserve"> 2021 on account of </w:t>
      </w:r>
      <w:r>
        <w:rPr>
          <w:rFonts w:ascii="Palatino Linotype" w:hAnsi="Palatino Linotype" w:cs="Arial"/>
          <w:bCs/>
          <w:sz w:val="22"/>
          <w:szCs w:val="22"/>
        </w:rPr>
        <w:t xml:space="preserve">increase in the turnover of </w:t>
      </w:r>
      <w:r w:rsidRPr="009803F8">
        <w:rPr>
          <w:rFonts w:ascii="Palatino Linotype" w:hAnsi="Palatino Linotype" w:cs="Arial"/>
          <w:bCs/>
          <w:sz w:val="22"/>
          <w:szCs w:val="22"/>
        </w:rPr>
        <w:t xml:space="preserve">futures </w:t>
      </w:r>
      <w:r>
        <w:rPr>
          <w:rFonts w:ascii="Palatino Linotype" w:hAnsi="Palatino Linotype" w:cs="Arial"/>
          <w:bCs/>
          <w:sz w:val="22"/>
          <w:szCs w:val="22"/>
        </w:rPr>
        <w:t xml:space="preserve">of </w:t>
      </w:r>
      <w:r w:rsidRPr="009803F8">
        <w:rPr>
          <w:rFonts w:ascii="Palatino Linotype" w:hAnsi="Palatino Linotype" w:cs="Arial"/>
          <w:bCs/>
          <w:sz w:val="22"/>
          <w:szCs w:val="22"/>
        </w:rPr>
        <w:t>crude degummed soybean oil</w:t>
      </w:r>
      <w:r>
        <w:rPr>
          <w:rFonts w:ascii="Palatino Linotype" w:hAnsi="Palatino Linotype" w:cs="Arial"/>
          <w:bCs/>
          <w:sz w:val="22"/>
          <w:szCs w:val="22"/>
        </w:rPr>
        <w:t xml:space="preserve"> by 61.7 per cent and increase in the turnover of options</w:t>
      </w:r>
      <w:r w:rsidRPr="009803F8">
        <w:rPr>
          <w:rFonts w:ascii="Palatino Linotype" w:hAnsi="Palatino Linotype" w:cs="Arial"/>
          <w:bCs/>
          <w:sz w:val="22"/>
          <w:szCs w:val="22"/>
        </w:rPr>
        <w:t xml:space="preserve"> </w:t>
      </w:r>
      <w:r>
        <w:rPr>
          <w:rFonts w:ascii="Palatino Linotype" w:hAnsi="Palatino Linotype" w:cs="Arial"/>
          <w:bCs/>
          <w:sz w:val="22"/>
          <w:szCs w:val="22"/>
        </w:rPr>
        <w:t>on gold mini contracts by 27.9 per cent.</w:t>
      </w:r>
    </w:p>
    <w:p w:rsidR="002C3840" w:rsidRPr="009803F8" w:rsidRDefault="002C3840" w:rsidP="002C3840">
      <w:pPr>
        <w:pStyle w:val="ListParagraph"/>
        <w:numPr>
          <w:ilvl w:val="0"/>
          <w:numId w:val="13"/>
        </w:numPr>
        <w:spacing w:after="0" w:line="240" w:lineRule="auto"/>
        <w:ind w:left="567" w:hanging="526"/>
        <w:jc w:val="both"/>
        <w:rPr>
          <w:rFonts w:ascii="Palatino Linotype" w:hAnsi="Palatino Linotype" w:cs="Arial"/>
          <w:bCs/>
          <w:sz w:val="22"/>
          <w:szCs w:val="22"/>
        </w:rPr>
      </w:pPr>
      <w:r>
        <w:rPr>
          <w:rFonts w:ascii="Palatino Linotype" w:hAnsi="Palatino Linotype" w:cs="Arial"/>
          <w:bCs/>
          <w:sz w:val="22"/>
          <w:szCs w:val="22"/>
        </w:rPr>
        <w:t xml:space="preserve">Futures on </w:t>
      </w:r>
      <w:r w:rsidRPr="009803F8">
        <w:rPr>
          <w:rFonts w:ascii="Palatino Linotype" w:hAnsi="Palatino Linotype" w:cs="Arial"/>
          <w:bCs/>
          <w:sz w:val="22"/>
          <w:szCs w:val="22"/>
        </w:rPr>
        <w:t>crude degummed soybean oil</w:t>
      </w:r>
      <w:r>
        <w:rPr>
          <w:rFonts w:ascii="Palatino Linotype" w:hAnsi="Palatino Linotype" w:cs="Arial"/>
          <w:bCs/>
          <w:sz w:val="22"/>
          <w:szCs w:val="22"/>
        </w:rPr>
        <w:t xml:space="preserve"> </w:t>
      </w:r>
      <w:r w:rsidRPr="009803F8">
        <w:rPr>
          <w:rFonts w:ascii="Palatino Linotype" w:hAnsi="Palatino Linotype" w:cs="Arial"/>
          <w:bCs/>
          <w:sz w:val="22"/>
          <w:szCs w:val="22"/>
        </w:rPr>
        <w:t xml:space="preserve">and </w:t>
      </w:r>
      <w:r>
        <w:rPr>
          <w:rFonts w:ascii="Palatino Linotype" w:hAnsi="Palatino Linotype" w:cs="Arial"/>
          <w:bCs/>
          <w:sz w:val="22"/>
          <w:szCs w:val="22"/>
        </w:rPr>
        <w:t xml:space="preserve">options on </w:t>
      </w:r>
      <w:r w:rsidRPr="009803F8">
        <w:rPr>
          <w:rFonts w:ascii="Palatino Linotype" w:hAnsi="Palatino Linotype" w:cs="Arial"/>
          <w:bCs/>
          <w:sz w:val="22"/>
          <w:szCs w:val="22"/>
        </w:rPr>
        <w:t xml:space="preserve">gold </w:t>
      </w:r>
      <w:r>
        <w:rPr>
          <w:rFonts w:ascii="Palatino Linotype" w:hAnsi="Palatino Linotype" w:cs="Arial"/>
          <w:bCs/>
          <w:sz w:val="22"/>
          <w:szCs w:val="22"/>
        </w:rPr>
        <w:t xml:space="preserve">mini </w:t>
      </w:r>
      <w:r w:rsidRPr="009803F8">
        <w:rPr>
          <w:rFonts w:ascii="Palatino Linotype" w:hAnsi="Palatino Linotype" w:cs="Arial"/>
          <w:bCs/>
          <w:sz w:val="22"/>
          <w:szCs w:val="22"/>
        </w:rPr>
        <w:t xml:space="preserve">contract contributed </w:t>
      </w:r>
      <w:r>
        <w:rPr>
          <w:rFonts w:ascii="Palatino Linotype" w:hAnsi="Palatino Linotype" w:cs="Arial"/>
          <w:bCs/>
          <w:sz w:val="22"/>
          <w:szCs w:val="22"/>
        </w:rPr>
        <w:t>42.8</w:t>
      </w:r>
      <w:r w:rsidRPr="009803F8">
        <w:rPr>
          <w:rFonts w:ascii="Palatino Linotype" w:hAnsi="Palatino Linotype" w:cs="Arial"/>
          <w:bCs/>
          <w:sz w:val="22"/>
          <w:szCs w:val="22"/>
        </w:rPr>
        <w:t xml:space="preserve"> per cent and </w:t>
      </w:r>
      <w:r>
        <w:rPr>
          <w:rFonts w:ascii="Palatino Linotype" w:hAnsi="Palatino Linotype" w:cs="Arial"/>
          <w:bCs/>
          <w:sz w:val="22"/>
          <w:szCs w:val="22"/>
        </w:rPr>
        <w:t>57.0</w:t>
      </w:r>
      <w:r w:rsidRPr="009803F8">
        <w:rPr>
          <w:rFonts w:ascii="Palatino Linotype" w:hAnsi="Palatino Linotype" w:cs="Arial"/>
          <w:bCs/>
          <w:sz w:val="22"/>
          <w:szCs w:val="22"/>
        </w:rPr>
        <w:t xml:space="preserve"> per cent to the total turnover at NSE.</w:t>
      </w:r>
    </w:p>
    <w:p w:rsidR="002C3840" w:rsidRPr="009803F8" w:rsidRDefault="002C3840" w:rsidP="002C3840">
      <w:pPr>
        <w:pStyle w:val="ListParagraph"/>
        <w:numPr>
          <w:ilvl w:val="0"/>
          <w:numId w:val="13"/>
        </w:numPr>
        <w:spacing w:after="0" w:line="240" w:lineRule="auto"/>
        <w:ind w:left="567" w:hanging="526"/>
        <w:jc w:val="both"/>
        <w:rPr>
          <w:rFonts w:ascii="Palatino Linotype" w:hAnsi="Palatino Linotype" w:cs="Arial"/>
          <w:bCs/>
          <w:sz w:val="22"/>
          <w:szCs w:val="22"/>
        </w:rPr>
      </w:pPr>
      <w:r>
        <w:rPr>
          <w:rFonts w:ascii="Palatino Linotype" w:hAnsi="Palatino Linotype" w:cs="Arial"/>
          <w:bCs/>
          <w:sz w:val="22"/>
          <w:szCs w:val="22"/>
        </w:rPr>
        <w:t>T</w:t>
      </w:r>
      <w:r w:rsidRPr="009803F8">
        <w:rPr>
          <w:rFonts w:ascii="Palatino Linotype" w:hAnsi="Palatino Linotype" w:cs="Arial"/>
          <w:bCs/>
          <w:sz w:val="22"/>
          <w:szCs w:val="22"/>
        </w:rPr>
        <w:t xml:space="preserve">he total turnover at ICEX </w:t>
      </w:r>
      <w:r>
        <w:rPr>
          <w:rFonts w:ascii="Palatino Linotype" w:hAnsi="Palatino Linotype" w:cs="Arial"/>
          <w:bCs/>
          <w:sz w:val="22"/>
          <w:szCs w:val="22"/>
        </w:rPr>
        <w:t>de</w:t>
      </w:r>
      <w:r w:rsidRPr="009803F8">
        <w:rPr>
          <w:rFonts w:ascii="Palatino Linotype" w:hAnsi="Palatino Linotype" w:cs="Arial"/>
          <w:bCs/>
          <w:sz w:val="22"/>
          <w:szCs w:val="22"/>
        </w:rPr>
        <w:t xml:space="preserve">creased by </w:t>
      </w:r>
      <w:r>
        <w:rPr>
          <w:rFonts w:ascii="Palatino Linotype" w:hAnsi="Palatino Linotype" w:cs="Arial"/>
          <w:bCs/>
          <w:sz w:val="22"/>
          <w:szCs w:val="22"/>
        </w:rPr>
        <w:t>16.3</w:t>
      </w:r>
      <w:r w:rsidRPr="009803F8">
        <w:rPr>
          <w:rFonts w:ascii="Palatino Linotype" w:hAnsi="Palatino Linotype" w:cs="Arial"/>
          <w:bCs/>
          <w:sz w:val="22"/>
          <w:szCs w:val="22"/>
        </w:rPr>
        <w:t xml:space="preserve"> per cent to </w:t>
      </w:r>
      <w:r w:rsidRPr="009803F8">
        <w:rPr>
          <w:rFonts w:ascii="Times New Roman" w:hAnsi="Times New Roman"/>
          <w:bCs/>
          <w:sz w:val="22"/>
          <w:szCs w:val="22"/>
        </w:rPr>
        <w:t>₹</w:t>
      </w:r>
      <w:r>
        <w:rPr>
          <w:rFonts w:ascii="Times New Roman" w:hAnsi="Times New Roman"/>
          <w:bCs/>
          <w:sz w:val="22"/>
          <w:szCs w:val="22"/>
        </w:rPr>
        <w:t xml:space="preserve">22.1 </w:t>
      </w:r>
      <w:r w:rsidRPr="009803F8">
        <w:rPr>
          <w:rFonts w:ascii="Palatino Linotype" w:hAnsi="Palatino Linotype" w:cs="Arial"/>
          <w:bCs/>
          <w:sz w:val="22"/>
          <w:szCs w:val="22"/>
        </w:rPr>
        <w:t>crore due to</w:t>
      </w:r>
      <w:r>
        <w:rPr>
          <w:rFonts w:ascii="Palatino Linotype" w:hAnsi="Palatino Linotype" w:cs="Arial"/>
          <w:bCs/>
          <w:sz w:val="22"/>
          <w:szCs w:val="22"/>
        </w:rPr>
        <w:t xml:space="preserve"> de</w:t>
      </w:r>
      <w:r w:rsidRPr="009803F8">
        <w:rPr>
          <w:rFonts w:ascii="Palatino Linotype" w:hAnsi="Palatino Linotype" w:cs="Arial"/>
          <w:bCs/>
          <w:sz w:val="22"/>
          <w:szCs w:val="22"/>
        </w:rPr>
        <w:t xml:space="preserve">crease in turnover of steel long contracts by </w:t>
      </w:r>
      <w:r>
        <w:rPr>
          <w:rFonts w:ascii="Palatino Linotype" w:hAnsi="Palatino Linotype" w:cs="Arial"/>
          <w:bCs/>
          <w:sz w:val="22"/>
          <w:szCs w:val="22"/>
        </w:rPr>
        <w:t>17.9</w:t>
      </w:r>
      <w:r w:rsidRPr="009803F8">
        <w:rPr>
          <w:rFonts w:ascii="Palatino Linotype" w:hAnsi="Palatino Linotype" w:cs="Arial"/>
          <w:bCs/>
          <w:sz w:val="22"/>
          <w:szCs w:val="22"/>
        </w:rPr>
        <w:t xml:space="preserve"> per cent </w:t>
      </w:r>
      <w:r>
        <w:rPr>
          <w:rFonts w:ascii="Palatino Linotype" w:hAnsi="Palatino Linotype" w:cs="Arial"/>
          <w:bCs/>
          <w:sz w:val="22"/>
          <w:szCs w:val="22"/>
        </w:rPr>
        <w:t xml:space="preserve">to </w:t>
      </w:r>
      <w:r w:rsidRPr="009803F8">
        <w:rPr>
          <w:rFonts w:ascii="Times New Roman" w:hAnsi="Times New Roman"/>
          <w:bCs/>
          <w:sz w:val="22"/>
          <w:szCs w:val="22"/>
        </w:rPr>
        <w:t>₹</w:t>
      </w:r>
      <w:r>
        <w:rPr>
          <w:rFonts w:ascii="Palatino Linotype" w:hAnsi="Palatino Linotype" w:cs="Arial"/>
          <w:bCs/>
          <w:sz w:val="22"/>
          <w:szCs w:val="22"/>
        </w:rPr>
        <w:t>18.5 crore</w:t>
      </w:r>
      <w:r w:rsidRPr="009803F8">
        <w:rPr>
          <w:rFonts w:ascii="Palatino Linotype" w:hAnsi="Palatino Linotype" w:cs="Arial"/>
          <w:bCs/>
          <w:sz w:val="22"/>
          <w:szCs w:val="22"/>
        </w:rPr>
        <w:t xml:space="preserve">. </w:t>
      </w:r>
    </w:p>
    <w:p w:rsidR="002C3840" w:rsidRPr="00C52736" w:rsidRDefault="002C3840" w:rsidP="002C3840">
      <w:pPr>
        <w:pStyle w:val="ListParagraph"/>
        <w:numPr>
          <w:ilvl w:val="0"/>
          <w:numId w:val="13"/>
        </w:numPr>
        <w:spacing w:after="0" w:line="240" w:lineRule="auto"/>
        <w:ind w:left="567" w:hanging="526"/>
        <w:jc w:val="both"/>
        <w:rPr>
          <w:rFonts w:ascii="Palatino Linotype" w:hAnsi="Palatino Linotype" w:cs="Arial"/>
          <w:bCs/>
          <w:sz w:val="22"/>
          <w:szCs w:val="22"/>
        </w:rPr>
      </w:pPr>
      <w:r w:rsidRPr="009803F8">
        <w:rPr>
          <w:rFonts w:ascii="Palatino Linotype" w:hAnsi="Palatino Linotype" w:cs="Arial"/>
          <w:bCs/>
          <w:sz w:val="22"/>
          <w:szCs w:val="22"/>
        </w:rPr>
        <w:t xml:space="preserve">The trends in turnover of agricultural and non-agricultural commodities at exchanges is shown in Figures 15, 16 and 17 and the details are given in </w:t>
      </w:r>
      <w:r w:rsidRPr="00FF2B41">
        <w:rPr>
          <w:rFonts w:ascii="Palatino Linotype" w:eastAsia="Times New Roman" w:hAnsi="Palatino Linotype"/>
          <w:color w:val="000000"/>
          <w:sz w:val="22"/>
          <w:szCs w:val="22"/>
        </w:rPr>
        <w:t>Tables</w:t>
      </w:r>
      <w:r w:rsidRPr="009803F8">
        <w:rPr>
          <w:rFonts w:ascii="Palatino Linotype" w:hAnsi="Palatino Linotype" w:cs="Arial"/>
          <w:bCs/>
          <w:sz w:val="22"/>
          <w:szCs w:val="22"/>
        </w:rPr>
        <w:t xml:space="preserve"> 65 to 69.</w:t>
      </w:r>
    </w:p>
    <w:p w:rsidR="002C3840" w:rsidRPr="009803F8" w:rsidRDefault="002C3840" w:rsidP="002C3840">
      <w:pPr>
        <w:jc w:val="both"/>
        <w:rPr>
          <w:rFonts w:ascii="Palatino Linotype" w:hAnsi="Palatino Linotype" w:cs="Arial"/>
          <w:bCs/>
        </w:rPr>
      </w:pPr>
    </w:p>
    <w:p w:rsidR="002C3840" w:rsidRDefault="002C3840" w:rsidP="002C3840">
      <w:pPr>
        <w:pStyle w:val="ListParagraph"/>
        <w:spacing w:after="0" w:line="240" w:lineRule="auto"/>
        <w:jc w:val="center"/>
        <w:rPr>
          <w:rFonts w:ascii="Palatino Linotype" w:hAnsi="Palatino Linotype" w:cs="Arial"/>
          <w:b/>
          <w:bCs/>
          <w:sz w:val="22"/>
          <w:szCs w:val="22"/>
        </w:rPr>
      </w:pPr>
    </w:p>
    <w:p w:rsidR="002C3840" w:rsidRDefault="002C3840" w:rsidP="002C3840">
      <w:pPr>
        <w:rPr>
          <w:rFonts w:ascii="Palatino Linotype" w:hAnsi="Palatino Linotype" w:cs="Arial"/>
          <w:b/>
          <w:bCs/>
        </w:rPr>
      </w:pPr>
      <w:r>
        <w:rPr>
          <w:rFonts w:ascii="Palatino Linotype" w:hAnsi="Palatino Linotype" w:cs="Arial"/>
          <w:b/>
          <w:bCs/>
        </w:rPr>
        <w:br w:type="page"/>
      </w:r>
    </w:p>
    <w:p w:rsidR="002C3840" w:rsidRPr="009803F8" w:rsidRDefault="002C3840" w:rsidP="002C3840">
      <w:pPr>
        <w:pStyle w:val="ListParagraph"/>
        <w:spacing w:after="0" w:line="240" w:lineRule="auto"/>
        <w:jc w:val="center"/>
        <w:rPr>
          <w:rFonts w:ascii="Palatino Linotype" w:hAnsi="Palatino Linotype" w:cs="Arial"/>
          <w:b/>
          <w:bCs/>
          <w:sz w:val="22"/>
          <w:szCs w:val="22"/>
        </w:rPr>
      </w:pPr>
      <w:r w:rsidRPr="009803F8">
        <w:rPr>
          <w:rFonts w:ascii="Palatino Linotype" w:hAnsi="Palatino Linotype" w:cs="Arial"/>
          <w:b/>
          <w:bCs/>
          <w:sz w:val="22"/>
          <w:szCs w:val="22"/>
        </w:rPr>
        <w:lastRenderedPageBreak/>
        <w:t xml:space="preserve">Figure 15: Trends in Turnover of Agricultural Commodity Derivatives </w:t>
      </w:r>
    </w:p>
    <w:p w:rsidR="002C3840" w:rsidRPr="009803F8" w:rsidRDefault="002C3840" w:rsidP="002C3840">
      <w:pPr>
        <w:pStyle w:val="ListParagraph"/>
        <w:spacing w:after="0" w:line="240" w:lineRule="auto"/>
        <w:ind w:left="0"/>
        <w:jc w:val="center"/>
        <w:rPr>
          <w:rFonts w:ascii="Palatino Linotype" w:hAnsi="Palatino Linotype" w:cs="Arial"/>
          <w:b/>
          <w:bCs/>
          <w:sz w:val="22"/>
          <w:szCs w:val="22"/>
        </w:rPr>
      </w:pPr>
      <w:r w:rsidRPr="009F7064">
        <w:rPr>
          <w:noProof/>
          <w:lang w:val="en-IN" w:eastAsia="en-IN" w:bidi="hi-IN"/>
        </w:rPr>
        <w:drawing>
          <wp:inline distT="0" distB="0" distL="0" distR="0" wp14:anchorId="055FF52C" wp14:editId="0E85BA05">
            <wp:extent cx="5655945" cy="2950210"/>
            <wp:effectExtent l="0" t="0" r="1905" b="254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3840" w:rsidRDefault="002C3840" w:rsidP="002C3840">
      <w:pPr>
        <w:rPr>
          <w:rFonts w:ascii="Palatino Linotype" w:hAnsi="Palatino Linotype"/>
          <w:b/>
          <w:color w:val="0D0D0D"/>
          <w:sz w:val="18"/>
          <w:szCs w:val="18"/>
        </w:rPr>
      </w:pPr>
    </w:p>
    <w:p w:rsidR="002C3840" w:rsidRPr="009803F8" w:rsidRDefault="002C3840" w:rsidP="002C3840">
      <w:pPr>
        <w:rPr>
          <w:rFonts w:ascii="Palatino Linotype" w:hAnsi="Palatino Linotype"/>
          <w:b/>
          <w:color w:val="0D0D0D"/>
          <w:sz w:val="18"/>
          <w:szCs w:val="18"/>
        </w:rPr>
      </w:pPr>
      <w:r w:rsidRPr="009803F8">
        <w:rPr>
          <w:rFonts w:ascii="Palatino Linotype" w:hAnsi="Palatino Linotype"/>
          <w:b/>
          <w:color w:val="0D0D0D"/>
          <w:sz w:val="18"/>
          <w:szCs w:val="18"/>
        </w:rPr>
        <w:t>Source: MCX, NCDEX, NSE, BSE &amp; ICEX</w:t>
      </w:r>
    </w:p>
    <w:p w:rsidR="002C3840" w:rsidRPr="009803F8" w:rsidRDefault="002C3840" w:rsidP="002C3840">
      <w:pPr>
        <w:pStyle w:val="ListParagraph"/>
        <w:spacing w:after="0" w:line="240" w:lineRule="auto"/>
        <w:ind w:left="426" w:hanging="862"/>
        <w:jc w:val="center"/>
        <w:rPr>
          <w:rFonts w:ascii="Palatino Linotype" w:hAnsi="Palatino Linotype"/>
          <w:b/>
          <w:sz w:val="22"/>
          <w:szCs w:val="22"/>
        </w:rPr>
      </w:pPr>
      <w:r w:rsidRPr="009803F8">
        <w:rPr>
          <w:rFonts w:ascii="Palatino Linotype" w:hAnsi="Palatino Linotype"/>
          <w:b/>
          <w:sz w:val="22"/>
          <w:szCs w:val="22"/>
        </w:rPr>
        <w:t xml:space="preserve"> </w:t>
      </w:r>
    </w:p>
    <w:p w:rsidR="002C3840" w:rsidRPr="009803F8" w:rsidRDefault="002C3840" w:rsidP="002C3840">
      <w:pPr>
        <w:pStyle w:val="ListParagraph"/>
        <w:spacing w:after="0" w:line="240" w:lineRule="auto"/>
        <w:ind w:left="426" w:hanging="862"/>
        <w:jc w:val="center"/>
        <w:rPr>
          <w:rFonts w:ascii="Palatino Linotype" w:hAnsi="Palatino Linotype"/>
          <w:b/>
          <w:sz w:val="22"/>
          <w:szCs w:val="22"/>
        </w:rPr>
      </w:pPr>
      <w:r w:rsidRPr="009803F8">
        <w:rPr>
          <w:rFonts w:ascii="Palatino Linotype" w:hAnsi="Palatino Linotype"/>
          <w:b/>
          <w:sz w:val="22"/>
          <w:szCs w:val="22"/>
        </w:rPr>
        <w:t xml:space="preserve">  Figure 16: Trends in Turnover of Non-Agricultural Futures contracts </w:t>
      </w:r>
    </w:p>
    <w:p w:rsidR="002C3840" w:rsidRPr="009803F8" w:rsidRDefault="002C3840" w:rsidP="002C3840">
      <w:pPr>
        <w:pStyle w:val="ListParagraph"/>
        <w:spacing w:after="0" w:line="240" w:lineRule="auto"/>
        <w:ind w:left="426" w:hanging="862"/>
        <w:jc w:val="center"/>
        <w:rPr>
          <w:rFonts w:ascii="Palatino Linotype" w:hAnsi="Palatino Linotype"/>
          <w:b/>
          <w:sz w:val="22"/>
          <w:szCs w:val="22"/>
        </w:rPr>
      </w:pPr>
      <w:r w:rsidRPr="002912D4">
        <w:rPr>
          <w:noProof/>
          <w:lang w:val="en-IN" w:eastAsia="en-IN" w:bidi="hi-IN"/>
        </w:rPr>
        <w:drawing>
          <wp:inline distT="0" distB="0" distL="0" distR="0" wp14:anchorId="4D4D4C9C" wp14:editId="4746103D">
            <wp:extent cx="5180965" cy="3267710"/>
            <wp:effectExtent l="0" t="0" r="635" b="889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3840" w:rsidRPr="009803F8" w:rsidRDefault="002C3840" w:rsidP="002C3840">
      <w:pPr>
        <w:pStyle w:val="ListParagraph"/>
        <w:spacing w:after="0" w:line="240" w:lineRule="auto"/>
        <w:ind w:left="426" w:hanging="862"/>
        <w:jc w:val="center"/>
        <w:rPr>
          <w:rFonts w:ascii="Palatino Linotype" w:hAnsi="Palatino Linotype"/>
          <w:b/>
          <w:sz w:val="22"/>
          <w:szCs w:val="22"/>
        </w:rPr>
      </w:pPr>
    </w:p>
    <w:p w:rsidR="002C3840" w:rsidRPr="009803F8" w:rsidRDefault="002C3840" w:rsidP="002C3840">
      <w:pPr>
        <w:spacing w:line="259" w:lineRule="auto"/>
        <w:rPr>
          <w:rFonts w:ascii="Palatino Linotype" w:hAnsi="Palatino Linotype" w:cs="Arial"/>
          <w:bCs/>
        </w:rPr>
      </w:pPr>
      <w:r w:rsidRPr="009803F8">
        <w:rPr>
          <w:rFonts w:ascii="Palatino Linotype" w:hAnsi="Palatino Linotype"/>
          <w:b/>
          <w:color w:val="0D0D0D"/>
          <w:sz w:val="18"/>
          <w:szCs w:val="18"/>
        </w:rPr>
        <w:t>Source: MCX, NCDEX, NSE, BSE &amp; ICEX.</w:t>
      </w:r>
      <w:r w:rsidRPr="009803F8">
        <w:rPr>
          <w:rFonts w:ascii="Palatino Linotype" w:hAnsi="Palatino Linotype" w:cs="Arial"/>
          <w:bCs/>
        </w:rPr>
        <w:t xml:space="preserve"> </w:t>
      </w:r>
    </w:p>
    <w:p w:rsidR="002C3840" w:rsidRPr="009803F8" w:rsidRDefault="002C3840" w:rsidP="002C3840">
      <w:pPr>
        <w:pStyle w:val="ListParagraph"/>
        <w:spacing w:after="0" w:line="240" w:lineRule="auto"/>
        <w:ind w:left="-284" w:hanging="152"/>
        <w:jc w:val="center"/>
        <w:rPr>
          <w:rFonts w:ascii="Palatino Linotype" w:hAnsi="Palatino Linotype"/>
          <w:b/>
          <w:sz w:val="22"/>
          <w:szCs w:val="22"/>
        </w:rPr>
      </w:pPr>
    </w:p>
    <w:p w:rsidR="002C3840" w:rsidRDefault="002C3840" w:rsidP="002C3840">
      <w:pPr>
        <w:pStyle w:val="ListParagraph"/>
        <w:spacing w:after="0" w:line="240" w:lineRule="auto"/>
        <w:ind w:left="-284" w:hanging="152"/>
        <w:jc w:val="center"/>
        <w:rPr>
          <w:rFonts w:ascii="Palatino Linotype" w:hAnsi="Palatino Linotype"/>
          <w:b/>
          <w:sz w:val="22"/>
          <w:szCs w:val="22"/>
        </w:rPr>
      </w:pPr>
    </w:p>
    <w:p w:rsidR="002C3840" w:rsidRDefault="002C3840" w:rsidP="002C3840">
      <w:pPr>
        <w:pStyle w:val="ListParagraph"/>
        <w:spacing w:after="0" w:line="240" w:lineRule="auto"/>
        <w:ind w:left="-284" w:hanging="152"/>
        <w:jc w:val="center"/>
        <w:rPr>
          <w:rFonts w:ascii="Palatino Linotype" w:hAnsi="Palatino Linotype"/>
          <w:b/>
          <w:sz w:val="22"/>
          <w:szCs w:val="22"/>
        </w:rPr>
      </w:pPr>
    </w:p>
    <w:p w:rsidR="002C3840" w:rsidRDefault="002C3840" w:rsidP="002C3840">
      <w:pPr>
        <w:pStyle w:val="ListParagraph"/>
        <w:spacing w:after="0" w:line="240" w:lineRule="auto"/>
        <w:ind w:left="-284" w:hanging="152"/>
        <w:jc w:val="center"/>
        <w:rPr>
          <w:rFonts w:ascii="Palatino Linotype" w:hAnsi="Palatino Linotype"/>
          <w:b/>
          <w:sz w:val="22"/>
          <w:szCs w:val="22"/>
        </w:rPr>
      </w:pPr>
    </w:p>
    <w:p w:rsidR="002C3840" w:rsidRPr="009803F8" w:rsidRDefault="002C3840" w:rsidP="002C3840">
      <w:pPr>
        <w:pStyle w:val="ListParagraph"/>
        <w:spacing w:after="0" w:line="240" w:lineRule="auto"/>
        <w:ind w:left="-284" w:hanging="152"/>
        <w:rPr>
          <w:rFonts w:ascii="Palatino Linotype" w:hAnsi="Palatino Linotype"/>
          <w:b/>
          <w:sz w:val="22"/>
          <w:szCs w:val="22"/>
        </w:rPr>
      </w:pPr>
    </w:p>
    <w:p w:rsidR="002C3840" w:rsidRDefault="002C3840" w:rsidP="002C3840">
      <w:pPr>
        <w:pStyle w:val="ListParagraph"/>
        <w:spacing w:after="0" w:line="240" w:lineRule="auto"/>
        <w:ind w:left="-284" w:hanging="152"/>
        <w:jc w:val="center"/>
        <w:rPr>
          <w:rFonts w:ascii="Palatino Linotype" w:hAnsi="Palatino Linotype"/>
          <w:b/>
          <w:sz w:val="22"/>
          <w:szCs w:val="22"/>
        </w:rPr>
      </w:pPr>
    </w:p>
    <w:p w:rsidR="00DB7D3F" w:rsidRDefault="00DB7D3F" w:rsidP="002C3840">
      <w:pPr>
        <w:pStyle w:val="ListParagraph"/>
        <w:spacing w:after="0" w:line="240" w:lineRule="auto"/>
        <w:ind w:left="-284" w:hanging="152"/>
        <w:jc w:val="center"/>
        <w:rPr>
          <w:rFonts w:ascii="Palatino Linotype" w:hAnsi="Palatino Linotype"/>
          <w:b/>
          <w:sz w:val="22"/>
          <w:szCs w:val="22"/>
        </w:rPr>
      </w:pPr>
    </w:p>
    <w:p w:rsidR="00DB7D3F" w:rsidRDefault="00DB7D3F" w:rsidP="002C3840">
      <w:pPr>
        <w:pStyle w:val="ListParagraph"/>
        <w:spacing w:after="0" w:line="240" w:lineRule="auto"/>
        <w:ind w:left="-284" w:hanging="152"/>
        <w:jc w:val="center"/>
        <w:rPr>
          <w:rFonts w:ascii="Palatino Linotype" w:hAnsi="Palatino Linotype"/>
          <w:b/>
          <w:sz w:val="22"/>
          <w:szCs w:val="22"/>
        </w:rPr>
      </w:pPr>
    </w:p>
    <w:p w:rsidR="00DB7D3F" w:rsidRPr="009803F8" w:rsidRDefault="00DB7D3F" w:rsidP="002C3840">
      <w:pPr>
        <w:pStyle w:val="ListParagraph"/>
        <w:spacing w:after="0" w:line="240" w:lineRule="auto"/>
        <w:ind w:left="-284" w:hanging="152"/>
        <w:jc w:val="center"/>
        <w:rPr>
          <w:rFonts w:ascii="Palatino Linotype" w:hAnsi="Palatino Linotype"/>
          <w:b/>
          <w:sz w:val="22"/>
          <w:szCs w:val="22"/>
        </w:rPr>
      </w:pPr>
    </w:p>
    <w:p w:rsidR="002C3840" w:rsidRPr="009803F8" w:rsidRDefault="002C3840" w:rsidP="002C3840">
      <w:pPr>
        <w:pStyle w:val="ListParagraph"/>
        <w:spacing w:after="0" w:line="240" w:lineRule="auto"/>
        <w:ind w:left="-284" w:hanging="152"/>
        <w:jc w:val="center"/>
        <w:rPr>
          <w:rFonts w:ascii="Palatino Linotype" w:hAnsi="Palatino Linotype"/>
          <w:b/>
          <w:sz w:val="22"/>
          <w:szCs w:val="22"/>
        </w:rPr>
      </w:pPr>
      <w:r w:rsidRPr="009803F8">
        <w:rPr>
          <w:rFonts w:ascii="Palatino Linotype" w:hAnsi="Palatino Linotype"/>
          <w:b/>
          <w:sz w:val="22"/>
          <w:szCs w:val="22"/>
        </w:rPr>
        <w:lastRenderedPageBreak/>
        <w:t xml:space="preserve">Figure 17: Trends in Turnover of Non-Agricultural Options contracts </w:t>
      </w:r>
    </w:p>
    <w:p w:rsidR="002C3840" w:rsidRPr="009803F8" w:rsidRDefault="002C3840" w:rsidP="002C3840">
      <w:pPr>
        <w:pStyle w:val="ListParagraph"/>
        <w:spacing w:after="0" w:line="240" w:lineRule="auto"/>
        <w:ind w:left="0"/>
        <w:rPr>
          <w:rFonts w:ascii="Palatino Linotype" w:hAnsi="Palatino Linotype"/>
          <w:b/>
          <w:sz w:val="22"/>
          <w:szCs w:val="22"/>
        </w:rPr>
      </w:pPr>
      <w:r w:rsidRPr="006F1E72">
        <w:rPr>
          <w:noProof/>
          <w:lang w:val="en-IN" w:eastAsia="en-IN" w:bidi="hi-IN"/>
        </w:rPr>
        <w:t xml:space="preserve"> </w:t>
      </w:r>
      <w:r w:rsidRPr="006F1E72">
        <w:rPr>
          <w:noProof/>
          <w:lang w:val="en-IN" w:eastAsia="en-IN" w:bidi="hi-IN"/>
        </w:rPr>
        <w:drawing>
          <wp:inline distT="0" distB="0" distL="0" distR="0" wp14:anchorId="2980EAA7" wp14:editId="7A5099EC">
            <wp:extent cx="5433695" cy="3381375"/>
            <wp:effectExtent l="0" t="0" r="14605"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C3840" w:rsidRPr="009803F8" w:rsidRDefault="002C3840" w:rsidP="002C3840">
      <w:pPr>
        <w:pStyle w:val="ListParagraph"/>
        <w:spacing w:after="0" w:line="240" w:lineRule="auto"/>
        <w:ind w:left="-284" w:hanging="152"/>
        <w:jc w:val="center"/>
        <w:rPr>
          <w:rFonts w:ascii="Palatino Linotype" w:hAnsi="Palatino Linotype"/>
          <w:b/>
          <w:sz w:val="22"/>
          <w:szCs w:val="22"/>
        </w:rPr>
      </w:pPr>
    </w:p>
    <w:p w:rsidR="002C3840" w:rsidRDefault="002C3840" w:rsidP="002C3840">
      <w:pPr>
        <w:spacing w:line="259" w:lineRule="auto"/>
        <w:rPr>
          <w:rFonts w:ascii="Palatino Linotype" w:hAnsi="Palatino Linotype" w:cs="Arial"/>
          <w:bCs/>
        </w:rPr>
      </w:pPr>
      <w:r w:rsidRPr="009803F8">
        <w:rPr>
          <w:rFonts w:ascii="Palatino Linotype" w:hAnsi="Palatino Linotype"/>
          <w:b/>
          <w:color w:val="0D0D0D"/>
          <w:sz w:val="18"/>
          <w:szCs w:val="18"/>
        </w:rPr>
        <w:t>Source: MCX, BSE &amp; NSE.</w:t>
      </w:r>
      <w:r>
        <w:rPr>
          <w:rFonts w:ascii="Palatino Linotype" w:hAnsi="Palatino Linotype" w:cs="Arial"/>
          <w:bCs/>
        </w:rPr>
        <w:t xml:space="preserve">        </w:t>
      </w:r>
    </w:p>
    <w:p w:rsidR="0086339A" w:rsidRDefault="0086339A" w:rsidP="00E344DD">
      <w:pPr>
        <w:spacing w:line="259" w:lineRule="auto"/>
        <w:rPr>
          <w:rFonts w:ascii="Palatino Linotype" w:hAnsi="Palatino Linotype" w:cs="Arial"/>
          <w:bCs/>
        </w:rPr>
      </w:pPr>
    </w:p>
    <w:p w:rsidR="00DB7D3F" w:rsidRDefault="00E344DD" w:rsidP="00E344DD">
      <w:pPr>
        <w:spacing w:line="259" w:lineRule="auto"/>
        <w:rPr>
          <w:rFonts w:ascii="Palatino Linotype" w:hAnsi="Palatino Linotype" w:cs="Arial"/>
          <w:bCs/>
        </w:rPr>
      </w:pPr>
      <w:r>
        <w:rPr>
          <w:rFonts w:ascii="Palatino Linotype" w:hAnsi="Palatino Linotype" w:cs="Arial"/>
          <w:bCs/>
        </w:rPr>
        <w:t xml:space="preserve">                                   </w:t>
      </w:r>
    </w:p>
    <w:p w:rsidR="00DB7D3F" w:rsidRDefault="00DB7D3F">
      <w:pPr>
        <w:rPr>
          <w:rFonts w:ascii="Palatino Linotype" w:hAnsi="Palatino Linotype" w:cs="Arial"/>
          <w:bCs/>
        </w:rPr>
      </w:pPr>
      <w:r>
        <w:rPr>
          <w:rFonts w:ascii="Palatino Linotype" w:hAnsi="Palatino Linotype" w:cs="Arial"/>
          <w:bCs/>
        </w:rPr>
        <w:br w:type="page"/>
      </w:r>
    </w:p>
    <w:p w:rsidR="002F2984" w:rsidRDefault="002F2984" w:rsidP="00E344DD">
      <w:pPr>
        <w:spacing w:line="259" w:lineRule="auto"/>
        <w:rPr>
          <w:rFonts w:ascii="Palatino Linotype" w:hAnsi="Palatino Linotype" w:cs="Arial"/>
          <w:bCs/>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9D5D54" w:rsidRPr="00E62D83"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E62D83">
        <w:rPr>
          <w:rFonts w:ascii="Palatino Linotype" w:eastAsia="Times New Roman" w:hAnsi="Palatino Linotype"/>
          <w:sz w:val="22"/>
          <w:szCs w:val="22"/>
          <w:lang w:val="en-US"/>
        </w:rPr>
        <w:t xml:space="preserve">The JPMorgan Global Composite Purchasing Managers’ Index (PMI), compiled by IHS Markit, decreased to 55.7 points in </w:t>
      </w:r>
      <w:r>
        <w:rPr>
          <w:rFonts w:ascii="Palatino Linotype" w:eastAsia="Times New Roman" w:hAnsi="Palatino Linotype"/>
          <w:sz w:val="22"/>
          <w:szCs w:val="22"/>
          <w:lang w:val="en-US"/>
        </w:rPr>
        <w:t>July</w:t>
      </w:r>
      <w:r w:rsidRPr="00E62D83">
        <w:rPr>
          <w:rFonts w:ascii="Palatino Linotype" w:eastAsia="Times New Roman" w:hAnsi="Palatino Linotype"/>
          <w:sz w:val="22"/>
          <w:szCs w:val="22"/>
          <w:lang w:val="en-US"/>
        </w:rPr>
        <w:t xml:space="preserve"> 2021, from 56.6 in </w:t>
      </w:r>
      <w:r>
        <w:rPr>
          <w:rFonts w:ascii="Palatino Linotype" w:eastAsia="Times New Roman" w:hAnsi="Palatino Linotype"/>
          <w:sz w:val="22"/>
          <w:szCs w:val="22"/>
          <w:lang w:val="en-US"/>
        </w:rPr>
        <w:t>June</w:t>
      </w:r>
      <w:r w:rsidRPr="00E62D83">
        <w:rPr>
          <w:rFonts w:ascii="Palatino Linotype" w:eastAsia="Times New Roman" w:hAnsi="Palatino Linotype"/>
          <w:sz w:val="22"/>
          <w:szCs w:val="22"/>
          <w:lang w:val="en-US"/>
        </w:rPr>
        <w:t xml:space="preserve"> 2021. A reading of PMI above 50 means growth or expansion in economic activity. </w:t>
      </w:r>
    </w:p>
    <w:p w:rsidR="009D5D54" w:rsidRPr="00CF172F"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F172F"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172F">
        <w:rPr>
          <w:rFonts w:ascii="Palatino Linotype" w:eastAsia="Times New Roman" w:hAnsi="Palatino Linotype"/>
          <w:sz w:val="22"/>
          <w:szCs w:val="22"/>
          <w:lang w:val="en-US"/>
        </w:rPr>
        <w:t xml:space="preserve">The developed markets outperformed emerging equity markets in </w:t>
      </w:r>
      <w:r>
        <w:rPr>
          <w:rFonts w:ascii="Palatino Linotype" w:eastAsia="Times New Roman" w:hAnsi="Palatino Linotype"/>
          <w:sz w:val="22"/>
          <w:szCs w:val="22"/>
          <w:lang w:val="en-US"/>
        </w:rPr>
        <w:t>July</w:t>
      </w:r>
      <w:r w:rsidRPr="00CF172F">
        <w:rPr>
          <w:rFonts w:ascii="Palatino Linotype" w:eastAsia="Times New Roman" w:hAnsi="Palatino Linotype"/>
          <w:sz w:val="22"/>
          <w:szCs w:val="22"/>
          <w:lang w:val="en-US"/>
        </w:rPr>
        <w:t xml:space="preserve"> 2021. MSCI Emerging Market (EM) index decreased by </w:t>
      </w:r>
      <w:r>
        <w:rPr>
          <w:rFonts w:ascii="Palatino Linotype" w:eastAsia="Times New Roman" w:hAnsi="Palatino Linotype"/>
          <w:sz w:val="22"/>
          <w:szCs w:val="22"/>
          <w:lang w:val="en-US"/>
        </w:rPr>
        <w:t>7.0</w:t>
      </w:r>
      <w:r w:rsidRPr="00CF172F">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July</w:t>
      </w:r>
      <w:r w:rsidRPr="00CF172F">
        <w:rPr>
          <w:rFonts w:ascii="Palatino Linotype" w:eastAsia="Times New Roman" w:hAnsi="Palatino Linotype"/>
          <w:sz w:val="22"/>
          <w:szCs w:val="22"/>
          <w:lang w:val="en-US"/>
        </w:rPr>
        <w:t xml:space="preserve"> 2021 over the previous month, while MSCI Developed Market </w:t>
      </w:r>
      <w:r w:rsidR="000B5243">
        <w:rPr>
          <w:rFonts w:ascii="Palatino Linotype" w:eastAsia="Times New Roman" w:hAnsi="Palatino Linotype"/>
          <w:sz w:val="22"/>
          <w:szCs w:val="22"/>
          <w:lang w:val="en-US"/>
        </w:rPr>
        <w:t>i</w:t>
      </w:r>
      <w:r w:rsidR="000B5243" w:rsidRPr="00CF172F">
        <w:rPr>
          <w:rFonts w:ascii="Palatino Linotype" w:eastAsia="Times New Roman" w:hAnsi="Palatino Linotype"/>
          <w:sz w:val="22"/>
          <w:szCs w:val="22"/>
          <w:lang w:val="en-US"/>
        </w:rPr>
        <w:t xml:space="preserve">ndex </w:t>
      </w:r>
      <w:r w:rsidRPr="00CF172F">
        <w:rPr>
          <w:rFonts w:ascii="Palatino Linotype" w:eastAsia="Times New Roman" w:hAnsi="Palatino Linotype"/>
          <w:sz w:val="22"/>
          <w:szCs w:val="22"/>
          <w:lang w:val="en-US"/>
        </w:rPr>
        <w:t xml:space="preserve">increased by </w:t>
      </w:r>
      <w:r>
        <w:rPr>
          <w:rFonts w:ascii="Palatino Linotype" w:eastAsia="Times New Roman" w:hAnsi="Palatino Linotype"/>
          <w:sz w:val="22"/>
          <w:szCs w:val="22"/>
          <w:lang w:val="en-US"/>
        </w:rPr>
        <w:t>1.7</w:t>
      </w:r>
      <w:r w:rsidRPr="00CF172F">
        <w:rPr>
          <w:rFonts w:ascii="Palatino Linotype" w:eastAsia="Times New Roman" w:hAnsi="Palatino Linotype"/>
          <w:sz w:val="22"/>
          <w:szCs w:val="22"/>
          <w:lang w:val="en-US"/>
        </w:rPr>
        <w:t xml:space="preserve"> per cent during same period. </w:t>
      </w:r>
    </w:p>
    <w:p w:rsidR="009D5D54" w:rsidRPr="00CF172F"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F172F"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172F">
        <w:rPr>
          <w:rFonts w:ascii="Palatino Linotype" w:eastAsia="Times New Roman" w:hAnsi="Palatino Linotype"/>
          <w:sz w:val="22"/>
          <w:szCs w:val="22"/>
          <w:lang w:val="en-US"/>
        </w:rPr>
        <w:t xml:space="preserve">The volatility in the equity markets </w:t>
      </w:r>
      <w:r>
        <w:rPr>
          <w:rFonts w:ascii="Palatino Linotype" w:eastAsia="Times New Roman" w:hAnsi="Palatino Linotype"/>
          <w:sz w:val="22"/>
          <w:szCs w:val="22"/>
          <w:lang w:val="en-US"/>
        </w:rPr>
        <w:t>increased</w:t>
      </w:r>
      <w:r w:rsidRPr="00CF172F">
        <w:rPr>
          <w:rFonts w:ascii="Palatino Linotype" w:eastAsia="Times New Roman" w:hAnsi="Palatino Linotype"/>
          <w:sz w:val="22"/>
          <w:szCs w:val="22"/>
          <w:lang w:val="en-US"/>
        </w:rPr>
        <w:t xml:space="preserve"> during </w:t>
      </w:r>
      <w:r>
        <w:rPr>
          <w:rFonts w:ascii="Palatino Linotype" w:eastAsia="Times New Roman" w:hAnsi="Palatino Linotype"/>
          <w:sz w:val="22"/>
          <w:szCs w:val="22"/>
          <w:lang w:val="en-US"/>
        </w:rPr>
        <w:t>July</w:t>
      </w:r>
      <w:r w:rsidRPr="00CF172F">
        <w:rPr>
          <w:rFonts w:ascii="Palatino Linotype" w:eastAsia="Times New Roman" w:hAnsi="Palatino Linotype"/>
          <w:sz w:val="22"/>
          <w:szCs w:val="22"/>
          <w:lang w:val="en-US"/>
        </w:rPr>
        <w:t xml:space="preserve"> 2021. The CBOE VIX index </w:t>
      </w:r>
      <w:r>
        <w:rPr>
          <w:rFonts w:ascii="Palatino Linotype" w:eastAsia="Times New Roman" w:hAnsi="Palatino Linotype"/>
          <w:sz w:val="22"/>
          <w:szCs w:val="22"/>
          <w:lang w:val="en-US"/>
        </w:rPr>
        <w:t>increased</w:t>
      </w:r>
      <w:r w:rsidRPr="00CF172F">
        <w:rPr>
          <w:rFonts w:ascii="Palatino Linotype" w:eastAsia="Times New Roman" w:hAnsi="Palatino Linotype"/>
          <w:sz w:val="22"/>
          <w:szCs w:val="22"/>
          <w:lang w:val="en-US"/>
        </w:rPr>
        <w:t xml:space="preserve"> to</w:t>
      </w:r>
      <w:r w:rsidRPr="00CF172F">
        <w:t xml:space="preserve"> </w:t>
      </w:r>
      <w:r>
        <w:rPr>
          <w:rFonts w:ascii="Palatino Linotype" w:eastAsia="Times New Roman" w:hAnsi="Palatino Linotype"/>
          <w:sz w:val="22"/>
          <w:szCs w:val="22"/>
          <w:lang w:val="en-US"/>
        </w:rPr>
        <w:t>18.2</w:t>
      </w:r>
      <w:r w:rsidRPr="00CF172F">
        <w:rPr>
          <w:rFonts w:ascii="Palatino Linotype" w:eastAsia="Times New Roman" w:hAnsi="Palatino Linotype"/>
          <w:sz w:val="22"/>
          <w:szCs w:val="22"/>
          <w:lang w:val="en-US"/>
        </w:rPr>
        <w:t xml:space="preserve"> at the end of </w:t>
      </w:r>
      <w:r>
        <w:rPr>
          <w:rFonts w:ascii="Palatino Linotype" w:eastAsia="Times New Roman" w:hAnsi="Palatino Linotype"/>
          <w:sz w:val="22"/>
          <w:szCs w:val="22"/>
          <w:lang w:val="en-US"/>
        </w:rPr>
        <w:t>July</w:t>
      </w:r>
      <w:r w:rsidRPr="00CF172F">
        <w:rPr>
          <w:rFonts w:ascii="Palatino Linotype" w:eastAsia="Times New Roman" w:hAnsi="Palatino Linotype"/>
          <w:sz w:val="22"/>
          <w:szCs w:val="22"/>
          <w:lang w:val="en-US"/>
        </w:rPr>
        <w:t xml:space="preserve"> 2021 from 15.8 as at the end of last month.</w:t>
      </w:r>
    </w:p>
    <w:p w:rsidR="009D5D54" w:rsidRPr="00FF5AD4"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FF5AD4"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FF5AD4">
        <w:rPr>
          <w:rFonts w:ascii="Palatino Linotype" w:eastAsia="Times New Roman" w:hAnsi="Palatino Linotype"/>
          <w:sz w:val="22"/>
          <w:szCs w:val="22"/>
          <w:lang w:val="en-US"/>
        </w:rPr>
        <w:t xml:space="preserve">The US 10-year government bond yield decreased by </w:t>
      </w:r>
      <w:r>
        <w:rPr>
          <w:rFonts w:ascii="Palatino Linotype" w:eastAsia="Times New Roman" w:hAnsi="Palatino Linotype"/>
          <w:sz w:val="22"/>
          <w:szCs w:val="22"/>
          <w:lang w:val="en-US"/>
        </w:rPr>
        <w:t>24</w:t>
      </w:r>
      <w:r w:rsidRPr="00FF5AD4">
        <w:rPr>
          <w:rFonts w:ascii="Palatino Linotype" w:eastAsia="Times New Roman" w:hAnsi="Palatino Linotype"/>
          <w:sz w:val="22"/>
          <w:szCs w:val="22"/>
          <w:lang w:val="en-US"/>
        </w:rPr>
        <w:t xml:space="preserve"> bps to 1.</w:t>
      </w:r>
      <w:r>
        <w:rPr>
          <w:rFonts w:ascii="Palatino Linotype" w:eastAsia="Times New Roman" w:hAnsi="Palatino Linotype"/>
          <w:sz w:val="22"/>
          <w:szCs w:val="22"/>
          <w:lang w:val="en-US"/>
        </w:rPr>
        <w:t>23</w:t>
      </w:r>
      <w:r w:rsidRPr="00FF5AD4">
        <w:rPr>
          <w:rFonts w:ascii="Palatino Linotype" w:eastAsia="Times New Roman" w:hAnsi="Palatino Linotype"/>
          <w:sz w:val="22"/>
          <w:szCs w:val="22"/>
          <w:lang w:val="en-US"/>
        </w:rPr>
        <w:t xml:space="preserve"> per cent during </w:t>
      </w:r>
      <w:r>
        <w:rPr>
          <w:rFonts w:ascii="Palatino Linotype" w:eastAsia="Times New Roman" w:hAnsi="Palatino Linotype"/>
          <w:sz w:val="22"/>
          <w:szCs w:val="22"/>
          <w:lang w:val="en-US"/>
        </w:rPr>
        <w:t>July</w:t>
      </w:r>
      <w:r w:rsidRPr="00FF5AD4">
        <w:rPr>
          <w:rFonts w:ascii="Palatino Linotype" w:eastAsia="Times New Roman" w:hAnsi="Palatino Linotype"/>
          <w:sz w:val="22"/>
          <w:szCs w:val="22"/>
          <w:lang w:val="en-US"/>
        </w:rPr>
        <w:t xml:space="preserve"> 2021. The 10-year government bond yield of India increased by </w:t>
      </w:r>
      <w:r>
        <w:rPr>
          <w:rFonts w:ascii="Palatino Linotype" w:eastAsia="Times New Roman" w:hAnsi="Palatino Linotype"/>
          <w:sz w:val="22"/>
          <w:szCs w:val="22"/>
          <w:lang w:val="en-US"/>
        </w:rPr>
        <w:t>15</w:t>
      </w:r>
      <w:r w:rsidRPr="00FF5AD4">
        <w:rPr>
          <w:rFonts w:ascii="Palatino Linotype" w:eastAsia="Times New Roman" w:hAnsi="Palatino Linotype"/>
          <w:sz w:val="22"/>
          <w:szCs w:val="22"/>
          <w:lang w:val="en-US"/>
        </w:rPr>
        <w:t xml:space="preserve"> bps to 6.</w:t>
      </w:r>
      <w:r>
        <w:rPr>
          <w:rFonts w:ascii="Palatino Linotype" w:eastAsia="Times New Roman" w:hAnsi="Palatino Linotype"/>
          <w:sz w:val="22"/>
          <w:szCs w:val="22"/>
          <w:lang w:val="en-US"/>
        </w:rPr>
        <w:t>2</w:t>
      </w:r>
      <w:r w:rsidRPr="00FF5AD4">
        <w:rPr>
          <w:rFonts w:ascii="Palatino Linotype" w:eastAsia="Times New Roman" w:hAnsi="Palatino Linotype"/>
          <w:sz w:val="22"/>
          <w:szCs w:val="22"/>
          <w:lang w:val="en-US"/>
        </w:rPr>
        <w:t xml:space="preserve"> per cent at the end of </w:t>
      </w:r>
      <w:r>
        <w:rPr>
          <w:rFonts w:ascii="Palatino Linotype" w:eastAsia="Times New Roman" w:hAnsi="Palatino Linotype"/>
          <w:sz w:val="22"/>
          <w:szCs w:val="22"/>
          <w:lang w:val="en-US"/>
        </w:rPr>
        <w:t>July</w:t>
      </w:r>
      <w:r w:rsidRPr="00FF5AD4">
        <w:rPr>
          <w:rFonts w:ascii="Palatino Linotype" w:eastAsia="Times New Roman" w:hAnsi="Palatino Linotype"/>
          <w:sz w:val="22"/>
          <w:szCs w:val="22"/>
          <w:lang w:val="en-US"/>
        </w:rPr>
        <w:t xml:space="preserve"> 2021, compared to end of the previous month.</w:t>
      </w:r>
    </w:p>
    <w:p w:rsidR="009D5D54" w:rsidRPr="00FF5AD4"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8B1052"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8B1052">
        <w:rPr>
          <w:rFonts w:ascii="Palatino Linotype" w:eastAsia="Times New Roman" w:hAnsi="Palatino Linotype"/>
          <w:sz w:val="22"/>
          <w:szCs w:val="22"/>
          <w:lang w:val="en-US"/>
        </w:rPr>
        <w:t xml:space="preserve">The WTI crude oil prices increased by USD </w:t>
      </w:r>
      <w:r>
        <w:rPr>
          <w:rFonts w:ascii="Palatino Linotype" w:eastAsia="Times New Roman" w:hAnsi="Palatino Linotype"/>
          <w:sz w:val="22"/>
          <w:szCs w:val="22"/>
          <w:lang w:val="en-US"/>
        </w:rPr>
        <w:t>0.5</w:t>
      </w:r>
      <w:r w:rsidRPr="008B1052">
        <w:rPr>
          <w:rFonts w:ascii="Palatino Linotype" w:eastAsia="Times New Roman" w:hAnsi="Palatino Linotype"/>
          <w:sz w:val="22"/>
          <w:szCs w:val="22"/>
          <w:lang w:val="en-US"/>
        </w:rPr>
        <w:t xml:space="preserve"> per barrel (or by </w:t>
      </w:r>
      <w:r>
        <w:rPr>
          <w:rFonts w:ascii="Palatino Linotype" w:eastAsia="Times New Roman" w:hAnsi="Palatino Linotype"/>
          <w:sz w:val="22"/>
          <w:szCs w:val="22"/>
          <w:lang w:val="en-US"/>
        </w:rPr>
        <w:t>0.7</w:t>
      </w:r>
      <w:r w:rsidRPr="008B1052">
        <w:rPr>
          <w:rFonts w:ascii="Palatino Linotype" w:eastAsia="Times New Roman" w:hAnsi="Palatino Linotype"/>
          <w:sz w:val="22"/>
          <w:szCs w:val="22"/>
          <w:lang w:val="en-US"/>
        </w:rPr>
        <w:t xml:space="preserve"> per cent) to USD 7</w:t>
      </w:r>
      <w:r>
        <w:rPr>
          <w:rFonts w:ascii="Palatino Linotype" w:eastAsia="Times New Roman" w:hAnsi="Palatino Linotype"/>
          <w:sz w:val="22"/>
          <w:szCs w:val="22"/>
          <w:lang w:val="en-US"/>
        </w:rPr>
        <w:t>4.0</w:t>
      </w:r>
      <w:r w:rsidRPr="008B1052">
        <w:rPr>
          <w:rFonts w:ascii="Palatino Linotype" w:eastAsia="Times New Roman" w:hAnsi="Palatino Linotype"/>
          <w:sz w:val="22"/>
          <w:szCs w:val="22"/>
          <w:lang w:val="en-US"/>
        </w:rPr>
        <w:t xml:space="preserve"> per barrel in </w:t>
      </w:r>
      <w:r>
        <w:rPr>
          <w:rFonts w:ascii="Palatino Linotype" w:eastAsia="Times New Roman" w:hAnsi="Palatino Linotype"/>
          <w:sz w:val="22"/>
          <w:szCs w:val="22"/>
          <w:lang w:val="en-US"/>
        </w:rPr>
        <w:t>July</w:t>
      </w:r>
      <w:r w:rsidRPr="008B1052">
        <w:rPr>
          <w:rFonts w:ascii="Palatino Linotype" w:eastAsia="Times New Roman" w:hAnsi="Palatino Linotype"/>
          <w:sz w:val="22"/>
          <w:szCs w:val="22"/>
          <w:lang w:val="en-US"/>
        </w:rPr>
        <w:t xml:space="preserve"> 2021. Gold prices </w:t>
      </w:r>
      <w:r>
        <w:rPr>
          <w:rFonts w:ascii="Palatino Linotype" w:eastAsia="Times New Roman" w:hAnsi="Palatino Linotype"/>
          <w:sz w:val="22"/>
          <w:szCs w:val="22"/>
          <w:lang w:val="en-US"/>
        </w:rPr>
        <w:t>increased</w:t>
      </w:r>
      <w:r w:rsidRPr="008B1052">
        <w:rPr>
          <w:rFonts w:ascii="Palatino Linotype" w:eastAsia="Times New Roman" w:hAnsi="Palatino Linotype"/>
          <w:sz w:val="22"/>
          <w:szCs w:val="22"/>
          <w:lang w:val="en-US"/>
        </w:rPr>
        <w:t xml:space="preserve"> by </w:t>
      </w:r>
      <w:r w:rsidRPr="009C3AA4">
        <w:rPr>
          <w:rFonts w:ascii="Palatino Linotype" w:eastAsia="Times New Roman" w:hAnsi="Palatino Linotype"/>
          <w:sz w:val="22"/>
          <w:szCs w:val="22"/>
          <w:lang w:val="en-US"/>
        </w:rPr>
        <w:t>2.5</w:t>
      </w:r>
      <w:r w:rsidRPr="008B1052">
        <w:rPr>
          <w:rFonts w:ascii="Palatino Linotype" w:eastAsia="Times New Roman" w:hAnsi="Palatino Linotype"/>
          <w:sz w:val="22"/>
          <w:szCs w:val="22"/>
          <w:lang w:val="en-US"/>
        </w:rPr>
        <w:t xml:space="preserve"> per cent to USD </w:t>
      </w:r>
      <w:r>
        <w:rPr>
          <w:rFonts w:ascii="Palatino Linotype" w:eastAsia="Times New Roman" w:hAnsi="Palatino Linotype"/>
          <w:sz w:val="22"/>
          <w:szCs w:val="22"/>
          <w:lang w:val="en-US"/>
        </w:rPr>
        <w:t>1,813.6</w:t>
      </w:r>
      <w:r w:rsidRPr="008B1052">
        <w:rPr>
          <w:rFonts w:ascii="Palatino Linotype" w:eastAsia="Times New Roman" w:hAnsi="Palatino Linotype"/>
          <w:sz w:val="22"/>
          <w:szCs w:val="22"/>
          <w:lang w:val="en-US"/>
        </w:rPr>
        <w:t xml:space="preserve"> at the end of </w:t>
      </w:r>
      <w:r>
        <w:rPr>
          <w:rFonts w:ascii="Palatino Linotype" w:eastAsia="Times New Roman" w:hAnsi="Palatino Linotype"/>
          <w:sz w:val="22"/>
          <w:szCs w:val="22"/>
          <w:lang w:val="en-US"/>
        </w:rPr>
        <w:t>July 2021 from USD</w:t>
      </w:r>
      <w:r w:rsidRPr="009C3AA4">
        <w:rPr>
          <w:rFonts w:ascii="Palatino Linotype" w:eastAsia="Times New Roman" w:hAnsi="Palatino Linotype"/>
          <w:sz w:val="22"/>
          <w:szCs w:val="22"/>
          <w:lang w:val="en-US"/>
        </w:rPr>
        <w:t xml:space="preserve"> 1,769.8 </w:t>
      </w:r>
      <w:r w:rsidRPr="008B1052">
        <w:rPr>
          <w:rFonts w:ascii="Palatino Linotype" w:eastAsia="Times New Roman" w:hAnsi="Palatino Linotype"/>
          <w:sz w:val="22"/>
          <w:szCs w:val="22"/>
          <w:lang w:val="en-US"/>
        </w:rPr>
        <w:t xml:space="preserve">at the end of </w:t>
      </w:r>
      <w:r>
        <w:rPr>
          <w:rFonts w:ascii="Palatino Linotype" w:eastAsia="Times New Roman" w:hAnsi="Palatino Linotype"/>
          <w:sz w:val="22"/>
          <w:szCs w:val="22"/>
          <w:lang w:val="en-US"/>
        </w:rPr>
        <w:t>June</w:t>
      </w:r>
      <w:r w:rsidRPr="008B1052">
        <w:rPr>
          <w:rFonts w:ascii="Palatino Linotype" w:eastAsia="Times New Roman" w:hAnsi="Palatino Linotype"/>
          <w:sz w:val="22"/>
          <w:szCs w:val="22"/>
          <w:lang w:val="en-US"/>
        </w:rPr>
        <w:t xml:space="preserve"> 2021. </w:t>
      </w:r>
    </w:p>
    <w:p w:rsidR="009D5D54" w:rsidRPr="00C27E65"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27E65"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27E65">
        <w:rPr>
          <w:rFonts w:ascii="Palatino Linotype" w:eastAsia="Times New Roman" w:hAnsi="Palatino Linotype"/>
          <w:sz w:val="22"/>
          <w:szCs w:val="22"/>
          <w:lang w:val="en-US"/>
        </w:rPr>
        <w:t xml:space="preserve">As per the latest estimate, the US economy expanded by 6.5 per cent Q-o-Q in annualised terms in the Q2 of 2021, compared to 6.3 per cent </w:t>
      </w:r>
      <w:r w:rsidR="000B5243">
        <w:rPr>
          <w:rFonts w:ascii="Palatino Linotype" w:eastAsia="Times New Roman" w:hAnsi="Palatino Linotype"/>
          <w:sz w:val="22"/>
          <w:szCs w:val="22"/>
          <w:lang w:val="en-US"/>
        </w:rPr>
        <w:t>expansion</w:t>
      </w:r>
      <w:r w:rsidR="000B5243" w:rsidRPr="00C27E65">
        <w:rPr>
          <w:rFonts w:ascii="Palatino Linotype" w:eastAsia="Times New Roman" w:hAnsi="Palatino Linotype"/>
          <w:sz w:val="22"/>
          <w:szCs w:val="22"/>
          <w:lang w:val="en-US"/>
        </w:rPr>
        <w:t xml:space="preserve"> </w:t>
      </w:r>
      <w:r w:rsidRPr="00C27E65">
        <w:rPr>
          <w:rFonts w:ascii="Palatino Linotype" w:eastAsia="Times New Roman" w:hAnsi="Palatino Linotype"/>
          <w:sz w:val="22"/>
          <w:szCs w:val="22"/>
          <w:lang w:val="en-US"/>
        </w:rPr>
        <w:t>during the previous quarter. The US unemployment rate slightly increased to 5.</w:t>
      </w:r>
      <w:r>
        <w:rPr>
          <w:rFonts w:ascii="Palatino Linotype" w:eastAsia="Times New Roman" w:hAnsi="Palatino Linotype"/>
          <w:sz w:val="22"/>
          <w:szCs w:val="22"/>
          <w:lang w:val="en-US"/>
        </w:rPr>
        <w:t>4</w:t>
      </w:r>
      <w:r w:rsidRPr="00C27E65">
        <w:rPr>
          <w:rFonts w:ascii="Palatino Linotype" w:eastAsia="Times New Roman" w:hAnsi="Palatino Linotype"/>
          <w:sz w:val="22"/>
          <w:szCs w:val="22"/>
          <w:lang w:val="en-US"/>
        </w:rPr>
        <w:t xml:space="preserve"> per cent in Ju</w:t>
      </w:r>
      <w:r>
        <w:rPr>
          <w:rFonts w:ascii="Palatino Linotype" w:eastAsia="Times New Roman" w:hAnsi="Palatino Linotype"/>
          <w:sz w:val="22"/>
          <w:szCs w:val="22"/>
          <w:lang w:val="en-US"/>
        </w:rPr>
        <w:t>ly</w:t>
      </w:r>
      <w:r w:rsidRPr="00C27E65">
        <w:rPr>
          <w:rFonts w:ascii="Palatino Linotype" w:eastAsia="Times New Roman" w:hAnsi="Palatino Linotype"/>
          <w:sz w:val="22"/>
          <w:szCs w:val="22"/>
          <w:lang w:val="en-US"/>
        </w:rPr>
        <w:t xml:space="preserve"> 2021 from 5.</w:t>
      </w:r>
      <w:r>
        <w:rPr>
          <w:rFonts w:ascii="Palatino Linotype" w:eastAsia="Times New Roman" w:hAnsi="Palatino Linotype"/>
          <w:sz w:val="22"/>
          <w:szCs w:val="22"/>
          <w:lang w:val="en-US"/>
        </w:rPr>
        <w:t>9</w:t>
      </w:r>
      <w:r w:rsidRPr="00C27E65">
        <w:rPr>
          <w:rFonts w:ascii="Palatino Linotype" w:eastAsia="Times New Roman" w:hAnsi="Palatino Linotype"/>
          <w:sz w:val="22"/>
          <w:szCs w:val="22"/>
          <w:lang w:val="en-US"/>
        </w:rPr>
        <w:t xml:space="preserve"> per cent in the previous month.</w:t>
      </w:r>
    </w:p>
    <w:p w:rsidR="009D5D54" w:rsidRPr="00340EEB" w:rsidRDefault="009D5D54" w:rsidP="009D5D54">
      <w:pPr>
        <w:spacing w:after="200" w:line="276" w:lineRule="auto"/>
        <w:ind w:left="720" w:right="107"/>
        <w:contextualSpacing/>
        <w:rPr>
          <w:rFonts w:ascii="Palatino Linotype" w:eastAsia="Times New Roman" w:hAnsi="Palatino Linotype"/>
          <w:sz w:val="22"/>
          <w:szCs w:val="22"/>
          <w:lang w:val="en-US"/>
        </w:rPr>
      </w:pPr>
    </w:p>
    <w:p w:rsidR="009D5D54" w:rsidRPr="00340EEB"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340EEB">
        <w:rPr>
          <w:rFonts w:ascii="Palatino Linotype" w:eastAsia="Times New Roman" w:hAnsi="Palatino Linotype"/>
          <w:sz w:val="22"/>
          <w:szCs w:val="22"/>
          <w:lang w:val="en-US"/>
        </w:rPr>
        <w:t xml:space="preserve">The UK economy </w:t>
      </w:r>
      <w:r>
        <w:rPr>
          <w:rFonts w:ascii="Palatino Linotype" w:eastAsia="Times New Roman" w:hAnsi="Palatino Linotype"/>
          <w:sz w:val="22"/>
          <w:szCs w:val="22"/>
          <w:lang w:val="en-US"/>
        </w:rPr>
        <w:t>grew</w:t>
      </w:r>
      <w:r w:rsidRPr="00340EEB">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4.8</w:t>
      </w:r>
      <w:r w:rsidRPr="00340EEB">
        <w:rPr>
          <w:rFonts w:ascii="Palatino Linotype" w:eastAsia="Times New Roman" w:hAnsi="Palatino Linotype"/>
          <w:sz w:val="22"/>
          <w:szCs w:val="22"/>
          <w:lang w:val="en-US"/>
        </w:rPr>
        <w:t xml:space="preserve"> per cent Q-o-Q in Q</w:t>
      </w:r>
      <w:r>
        <w:rPr>
          <w:rFonts w:ascii="Palatino Linotype" w:eastAsia="Times New Roman" w:hAnsi="Palatino Linotype"/>
          <w:sz w:val="22"/>
          <w:szCs w:val="22"/>
          <w:lang w:val="en-US"/>
        </w:rPr>
        <w:t>2</w:t>
      </w:r>
      <w:r w:rsidRPr="00340EEB">
        <w:rPr>
          <w:rFonts w:ascii="Palatino Linotype" w:eastAsia="Times New Roman" w:hAnsi="Palatino Linotype"/>
          <w:sz w:val="22"/>
          <w:szCs w:val="22"/>
          <w:lang w:val="en-US"/>
        </w:rPr>
        <w:t xml:space="preserve"> of 2021 against </w:t>
      </w:r>
      <w:r>
        <w:rPr>
          <w:rFonts w:ascii="Palatino Linotype" w:eastAsia="Times New Roman" w:hAnsi="Palatino Linotype"/>
          <w:sz w:val="22"/>
          <w:szCs w:val="22"/>
          <w:lang w:val="en-US"/>
        </w:rPr>
        <w:t>1.6</w:t>
      </w:r>
      <w:r w:rsidRPr="00340EEB">
        <w:rPr>
          <w:rFonts w:ascii="Palatino Linotype" w:eastAsia="Times New Roman" w:hAnsi="Palatino Linotype"/>
          <w:sz w:val="22"/>
          <w:szCs w:val="22"/>
          <w:lang w:val="en-US"/>
        </w:rPr>
        <w:t xml:space="preserve"> per cent </w:t>
      </w:r>
      <w:r>
        <w:rPr>
          <w:rFonts w:ascii="Palatino Linotype" w:eastAsia="Times New Roman" w:hAnsi="Palatino Linotype"/>
          <w:sz w:val="22"/>
          <w:szCs w:val="22"/>
          <w:lang w:val="en-US"/>
        </w:rPr>
        <w:t>contraction</w:t>
      </w:r>
      <w:r w:rsidRPr="00340EEB">
        <w:rPr>
          <w:rFonts w:ascii="Palatino Linotype" w:eastAsia="Times New Roman" w:hAnsi="Palatino Linotype"/>
          <w:sz w:val="22"/>
          <w:szCs w:val="22"/>
          <w:lang w:val="en-US"/>
        </w:rPr>
        <w:t xml:space="preserve"> in the previous quarter. The UK unemployment rate was observed to be 4.</w:t>
      </w:r>
      <w:r>
        <w:rPr>
          <w:rFonts w:ascii="Palatino Linotype" w:eastAsia="Times New Roman" w:hAnsi="Palatino Linotype"/>
          <w:sz w:val="22"/>
          <w:szCs w:val="22"/>
          <w:lang w:val="en-US"/>
        </w:rPr>
        <w:t>7</w:t>
      </w:r>
      <w:r w:rsidR="000B5243">
        <w:rPr>
          <w:rFonts w:ascii="Palatino Linotype" w:eastAsia="Times New Roman" w:hAnsi="Palatino Linotype"/>
          <w:sz w:val="22"/>
          <w:szCs w:val="22"/>
          <w:lang w:val="en-US"/>
        </w:rPr>
        <w:t xml:space="preserve"> per cent</w:t>
      </w:r>
      <w:r w:rsidRPr="00340EEB">
        <w:rPr>
          <w:rFonts w:ascii="Palatino Linotype" w:eastAsia="Times New Roman" w:hAnsi="Palatino Linotype"/>
          <w:sz w:val="22"/>
          <w:szCs w:val="22"/>
          <w:lang w:val="en-US"/>
        </w:rPr>
        <w:t xml:space="preserve"> for </w:t>
      </w:r>
      <w:r>
        <w:rPr>
          <w:rFonts w:ascii="Palatino Linotype" w:eastAsia="Times New Roman" w:hAnsi="Palatino Linotype"/>
          <w:sz w:val="22"/>
          <w:szCs w:val="22"/>
          <w:lang w:val="en-US"/>
        </w:rPr>
        <w:t>June</w:t>
      </w:r>
      <w:r w:rsidRPr="00340EEB">
        <w:rPr>
          <w:rFonts w:ascii="Palatino Linotype" w:eastAsia="Times New Roman" w:hAnsi="Palatino Linotype"/>
          <w:sz w:val="22"/>
          <w:szCs w:val="22"/>
          <w:lang w:val="en-US"/>
        </w:rPr>
        <w:t xml:space="preserve"> 2021.</w:t>
      </w:r>
    </w:p>
    <w:p w:rsidR="009D5D54" w:rsidRPr="00CF58E9"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F58E9"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58E9">
        <w:rPr>
          <w:rFonts w:ascii="Palatino Linotype" w:eastAsia="Times New Roman" w:hAnsi="Palatino Linotype"/>
          <w:sz w:val="22"/>
          <w:szCs w:val="22"/>
          <w:lang w:val="en-US"/>
        </w:rPr>
        <w:t xml:space="preserve">The Eurozone economy grew by 2 per cent Q-o-Q in Q2 of 2021, after shrinking by 0.3 per cent in previous quarter. Amongst the largest economies of Eurozone the growth rate was - Germany (1.5 per cent), France (0.9 per cent), Netherlands (-0.8 per cent) and Spain (2.8 per cent). </w:t>
      </w:r>
    </w:p>
    <w:p w:rsidR="009D5D54" w:rsidRPr="00CF58E9"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F58E9"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58E9">
        <w:rPr>
          <w:rFonts w:ascii="Palatino Linotype" w:eastAsia="Times New Roman" w:hAnsi="Palatino Linotype"/>
          <w:sz w:val="22"/>
          <w:szCs w:val="22"/>
          <w:lang w:val="en-US"/>
        </w:rPr>
        <w:t>GDP growth of China was 1.3 per cent in Q2 of 2021, however, it was higher than the growth in the previous quarter. Growth rate in GDP was of 0.4 per cent in Q1 of 2021 in China.</w:t>
      </w:r>
    </w:p>
    <w:p w:rsidR="009D5D54" w:rsidRPr="00CF58E9"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CF58E9"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58E9">
        <w:rPr>
          <w:rFonts w:ascii="Palatino Linotype" w:eastAsia="Times New Roman" w:hAnsi="Palatino Linotype"/>
          <w:sz w:val="22"/>
          <w:szCs w:val="22"/>
          <w:lang w:val="en-US"/>
        </w:rPr>
        <w:t>As per MOSPI, India’s GDP grew by 1.6 per cent Y-o-Y during Q4 of 2020-21 compared to a Y-o-Y growth rate of 1.6 per cent in Q3 of 2020-21.</w:t>
      </w:r>
    </w:p>
    <w:p w:rsidR="009D5D54" w:rsidRPr="00CF58E9" w:rsidRDefault="009D5D54" w:rsidP="009D5D54">
      <w:pPr>
        <w:pStyle w:val="ListParagraph"/>
        <w:rPr>
          <w:rFonts w:ascii="Palatino Linotype" w:eastAsia="Times New Roman" w:hAnsi="Palatino Linotype"/>
          <w:sz w:val="22"/>
          <w:szCs w:val="22"/>
        </w:rPr>
      </w:pPr>
    </w:p>
    <w:p w:rsidR="009D5D54" w:rsidRPr="00CF58E9" w:rsidRDefault="009D5D54" w:rsidP="009D5D5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F58E9">
        <w:rPr>
          <w:rFonts w:ascii="Palatino Linotype" w:eastAsia="Times New Roman" w:hAnsi="Palatino Linotype"/>
          <w:sz w:val="22"/>
          <w:szCs w:val="22"/>
          <w:lang w:val="en-US"/>
        </w:rPr>
        <w:t xml:space="preserve">According to the second advance estimates of GDP released by MOSPI on 31 May 2021, GDP of India is estimated to fall by 7.3 per cent during the 2020-21 as compared to 4 per cent expansion </w:t>
      </w:r>
      <w:r w:rsidR="008A27DC">
        <w:rPr>
          <w:rFonts w:ascii="Palatino Linotype" w:eastAsia="Times New Roman" w:hAnsi="Palatino Linotype"/>
          <w:sz w:val="22"/>
          <w:szCs w:val="22"/>
          <w:lang w:val="en-US"/>
        </w:rPr>
        <w:lastRenderedPageBreak/>
        <w:t>in 2019-20</w:t>
      </w:r>
      <w:r w:rsidRPr="00CF58E9">
        <w:rPr>
          <w:rFonts w:ascii="Palatino Linotype" w:eastAsia="Times New Roman" w:hAnsi="Palatino Linotype"/>
          <w:sz w:val="22"/>
          <w:szCs w:val="22"/>
          <w:lang w:val="en-US"/>
        </w:rPr>
        <w:t>. According to IMF projections, the Indian economy is expected to grow by -7.3 per cent in 2020 and 9.5</w:t>
      </w:r>
      <w:r>
        <w:rPr>
          <w:rFonts w:ascii="Palatino Linotype" w:eastAsia="Times New Roman" w:hAnsi="Palatino Linotype"/>
          <w:sz w:val="22"/>
          <w:szCs w:val="22"/>
          <w:lang w:val="en-US"/>
        </w:rPr>
        <w:t xml:space="preserve"> per cent in 2021. CPI in July 2021 was 5.6 </w:t>
      </w:r>
      <w:r w:rsidR="000B5243">
        <w:rPr>
          <w:rFonts w:ascii="Palatino Linotype" w:eastAsia="Times New Roman" w:hAnsi="Palatino Linotype"/>
          <w:sz w:val="22"/>
          <w:szCs w:val="22"/>
          <w:lang w:val="en-US"/>
        </w:rPr>
        <w:t xml:space="preserve"> per cent </w:t>
      </w:r>
      <w:r>
        <w:rPr>
          <w:rFonts w:ascii="Palatino Linotype" w:eastAsia="Times New Roman" w:hAnsi="Palatino Linotype"/>
          <w:sz w:val="22"/>
          <w:szCs w:val="22"/>
          <w:lang w:val="en-US"/>
        </w:rPr>
        <w:t xml:space="preserve">against 6.3 </w:t>
      </w:r>
      <w:r w:rsidR="000B5243">
        <w:rPr>
          <w:rFonts w:ascii="Palatino Linotype" w:eastAsia="Times New Roman" w:hAnsi="Palatino Linotype"/>
          <w:sz w:val="22"/>
          <w:szCs w:val="22"/>
          <w:lang w:val="en-US"/>
        </w:rPr>
        <w:t xml:space="preserve"> per cent in</w:t>
      </w:r>
      <w:r>
        <w:rPr>
          <w:rFonts w:ascii="Palatino Linotype" w:eastAsia="Times New Roman" w:hAnsi="Palatino Linotype"/>
          <w:sz w:val="22"/>
          <w:szCs w:val="22"/>
          <w:lang w:val="en-US"/>
        </w:rPr>
        <w:t xml:space="preserve"> previous month. General IIP was observed at 122.6 for June, whereas for mining, manufacturing and electricity it was observed to be 105.5, 121.0 and 169.1 respectively.</w:t>
      </w:r>
    </w:p>
    <w:p w:rsidR="009D5D54" w:rsidRPr="00CF58E9" w:rsidRDefault="009D5D54" w:rsidP="009D5D54">
      <w:pPr>
        <w:spacing w:before="100" w:beforeAutospacing="1" w:line="276" w:lineRule="auto"/>
        <w:ind w:left="360" w:right="107"/>
        <w:contextualSpacing/>
        <w:jc w:val="both"/>
        <w:rPr>
          <w:rFonts w:ascii="Palatino Linotype" w:eastAsia="Times New Roman" w:hAnsi="Palatino Linotype"/>
          <w:sz w:val="22"/>
          <w:szCs w:val="22"/>
          <w:lang w:val="en-US"/>
        </w:rPr>
      </w:pPr>
    </w:p>
    <w:p w:rsidR="009D5D54" w:rsidRPr="009A04D1" w:rsidRDefault="009D5D54" w:rsidP="009D5D54">
      <w:pPr>
        <w:spacing w:line="23" w:lineRule="atLeast"/>
        <w:ind w:left="720"/>
        <w:contextualSpacing/>
        <w:rPr>
          <w:rFonts w:ascii="Garamond" w:eastAsia="Times New Roman" w:hAnsi="Garamond"/>
          <w:b/>
          <w:lang w:val="en-US" w:eastAsia="en-GB"/>
        </w:rPr>
      </w:pPr>
    </w:p>
    <w:p w:rsidR="009D5D54" w:rsidRPr="009A04D1" w:rsidRDefault="009D5D54" w:rsidP="009D5D54">
      <w:pPr>
        <w:spacing w:line="23" w:lineRule="atLeast"/>
        <w:ind w:left="720"/>
        <w:contextualSpacing/>
        <w:rPr>
          <w:rFonts w:ascii="Garamond" w:eastAsia="Times New Roman" w:hAnsi="Garamond"/>
          <w:b/>
          <w:lang w:val="en-US" w:eastAsia="en-GB"/>
        </w:rPr>
      </w:pPr>
    </w:p>
    <w:p w:rsidR="009D5D54" w:rsidRPr="00ED58C0" w:rsidRDefault="009D5D54" w:rsidP="009D5D54">
      <w:pPr>
        <w:spacing w:line="23" w:lineRule="atLeast"/>
        <w:ind w:left="18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lang w:val="en-US" w:eastAsia="en-GB"/>
        </w:rPr>
        <w:t>Market Trends</w:t>
      </w:r>
      <w:r w:rsidRPr="00ED58C0">
        <w:rPr>
          <w:rFonts w:ascii="Palatino Linotype" w:eastAsia="Times New Roman" w:hAnsi="Palatino Linotype"/>
          <w:b/>
          <w:sz w:val="22"/>
          <w:szCs w:val="22"/>
          <w:vertAlign w:val="superscript"/>
          <w:lang w:val="en-US" w:eastAsia="en-GB"/>
        </w:rPr>
        <w:footnoteReference w:id="2"/>
      </w:r>
      <w:r w:rsidRPr="00ED58C0">
        <w:rPr>
          <w:rFonts w:ascii="Palatino Linotype" w:eastAsia="Times New Roman" w:hAnsi="Palatino Linotype"/>
          <w:b/>
          <w:sz w:val="22"/>
          <w:szCs w:val="22"/>
          <w:lang w:val="en-US" w:eastAsia="en-GB"/>
        </w:rPr>
        <w:t xml:space="preserve"> – </w:t>
      </w:r>
    </w:p>
    <w:p w:rsidR="009D5D54" w:rsidRPr="00ED58C0" w:rsidRDefault="009D5D54" w:rsidP="009D5D54">
      <w:pPr>
        <w:spacing w:line="23" w:lineRule="atLeast"/>
        <w:ind w:left="180"/>
        <w:contextualSpacing/>
        <w:rPr>
          <w:rFonts w:ascii="Palatino Linotype" w:eastAsia="Times New Roman" w:hAnsi="Palatino Linotype"/>
          <w:b/>
          <w:sz w:val="22"/>
          <w:szCs w:val="22"/>
          <w:lang w:val="en-US" w:eastAsia="en-GB"/>
        </w:rPr>
      </w:pPr>
    </w:p>
    <w:p w:rsidR="009D5D54" w:rsidRPr="008C1016" w:rsidRDefault="009D5D54" w:rsidP="009D5D54">
      <w:pPr>
        <w:spacing w:line="360" w:lineRule="auto"/>
        <w:ind w:left="72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u w:val="single"/>
          <w:lang w:val="en-US" w:eastAsia="en-GB"/>
        </w:rPr>
        <w:t>Equity Markets (Figures 1-2, Table A1)</w:t>
      </w:r>
      <w:r w:rsidRPr="00ED58C0">
        <w:rPr>
          <w:rFonts w:ascii="Palatino Linotype" w:eastAsia="Times New Roman" w:hAnsi="Palatino Linotype"/>
          <w:b/>
          <w:sz w:val="22"/>
          <w:szCs w:val="22"/>
          <w:lang w:val="en-US" w:eastAsia="en-GB"/>
        </w:rPr>
        <w:t>-</w:t>
      </w:r>
    </w:p>
    <w:p w:rsidR="009D5D54" w:rsidRPr="00C57773" w:rsidRDefault="009D5D54" w:rsidP="009D5D54">
      <w:pPr>
        <w:numPr>
          <w:ilvl w:val="0"/>
          <w:numId w:val="8"/>
        </w:numPr>
        <w:spacing w:line="276" w:lineRule="auto"/>
        <w:jc w:val="both"/>
        <w:rPr>
          <w:rFonts w:ascii="Palatino Linotype" w:eastAsia="Times New Roman" w:hAnsi="Palatino Linotype"/>
          <w:bCs/>
          <w:color w:val="FF0000"/>
          <w:sz w:val="22"/>
          <w:szCs w:val="22"/>
          <w:lang w:val="en-US" w:eastAsia="en-GB"/>
        </w:rPr>
      </w:pPr>
      <w:r w:rsidRPr="00C57773">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July</w:t>
      </w:r>
      <w:r w:rsidRPr="00C57773">
        <w:rPr>
          <w:rFonts w:ascii="Palatino Linotype" w:eastAsia="Times New Roman" w:hAnsi="Palatino Linotype"/>
          <w:bCs/>
          <w:sz w:val="22"/>
          <w:szCs w:val="22"/>
          <w:lang w:val="en-US" w:eastAsia="en-GB"/>
        </w:rPr>
        <w:t xml:space="preserve"> 2021, highest annualized monthly volatility amongst the BRICS countries was observed in Russian Traded (</w:t>
      </w:r>
      <w:r w:rsidRPr="00DF76F8">
        <w:rPr>
          <w:rFonts w:ascii="Palatino Linotype" w:eastAsia="Times New Roman" w:hAnsi="Palatino Linotype"/>
          <w:bCs/>
          <w:sz w:val="22"/>
          <w:szCs w:val="22"/>
          <w:lang w:val="en-US" w:eastAsia="en-GB"/>
        </w:rPr>
        <w:t>22.0</w:t>
      </w:r>
      <w:r w:rsidRPr="00C57773">
        <w:rPr>
          <w:rFonts w:ascii="Palatino Linotype" w:eastAsia="Times New Roman" w:hAnsi="Palatino Linotype"/>
          <w:bCs/>
          <w:sz w:val="22"/>
          <w:szCs w:val="22"/>
          <w:lang w:val="en-US" w:eastAsia="en-GB"/>
        </w:rPr>
        <w:t xml:space="preserve"> per cent) followed by South Africa FTSE (</w:t>
      </w:r>
      <w:r w:rsidRPr="00DF76F8">
        <w:rPr>
          <w:rFonts w:ascii="Palatino Linotype" w:eastAsia="Times New Roman" w:hAnsi="Palatino Linotype"/>
          <w:sz w:val="22"/>
          <w:szCs w:val="22"/>
          <w:lang w:val="en-IN" w:eastAsia="en-IN"/>
        </w:rPr>
        <w:t>21.8</w:t>
      </w:r>
      <w:r w:rsidRPr="00C57773">
        <w:rPr>
          <w:rFonts w:ascii="Palatino Linotype" w:eastAsia="Times New Roman" w:hAnsi="Palatino Linotype"/>
          <w:sz w:val="22"/>
          <w:szCs w:val="22"/>
          <w:lang w:val="en-IN" w:eastAsia="en-IN"/>
        </w:rPr>
        <w:t xml:space="preserve"> per cent)</w:t>
      </w:r>
      <w:r w:rsidRPr="00C57773">
        <w:rPr>
          <w:rFonts w:ascii="Palatino Linotype" w:eastAsia="Times New Roman" w:hAnsi="Palatino Linotype"/>
          <w:bCs/>
          <w:sz w:val="22"/>
          <w:szCs w:val="22"/>
          <w:lang w:val="en-US" w:eastAsia="en-GB"/>
        </w:rPr>
        <w:t xml:space="preserve"> and Brazil IBOVESPA (</w:t>
      </w:r>
      <w:r w:rsidRPr="00DF76F8">
        <w:rPr>
          <w:rFonts w:ascii="Palatino Linotype" w:eastAsia="Times New Roman" w:hAnsi="Palatino Linotype"/>
          <w:bCs/>
          <w:sz w:val="22"/>
          <w:szCs w:val="22"/>
          <w:lang w:val="en-US" w:eastAsia="en-GB"/>
        </w:rPr>
        <w:t>18.6</w:t>
      </w:r>
      <w:r w:rsidRPr="00C57773">
        <w:rPr>
          <w:rFonts w:ascii="Palatino Linotype" w:eastAsia="Times New Roman" w:hAnsi="Palatino Linotype"/>
          <w:bCs/>
          <w:sz w:val="22"/>
          <w:szCs w:val="22"/>
          <w:lang w:val="en-US" w:eastAsia="en-GB"/>
        </w:rPr>
        <w:t xml:space="preserve"> per cent). The lowest annualized volatility among BRICS was observed for India (Sensex- </w:t>
      </w:r>
      <w:r w:rsidRPr="00DF76F8">
        <w:rPr>
          <w:rFonts w:ascii="Palatino Linotype" w:eastAsia="Times New Roman" w:hAnsi="Palatino Linotype"/>
          <w:bCs/>
          <w:sz w:val="22"/>
          <w:szCs w:val="22"/>
          <w:lang w:val="en-US" w:eastAsia="en-GB"/>
        </w:rPr>
        <w:t>8.9</w:t>
      </w:r>
      <w:r w:rsidRPr="00C57773">
        <w:rPr>
          <w:rFonts w:ascii="Palatino Linotype" w:eastAsia="Times New Roman" w:hAnsi="Palatino Linotype"/>
          <w:bCs/>
          <w:sz w:val="22"/>
          <w:szCs w:val="22"/>
          <w:lang w:val="en-US" w:eastAsia="en-GB"/>
        </w:rPr>
        <w:t xml:space="preserve"> per cent and Nifty - </w:t>
      </w:r>
      <w:r w:rsidRPr="00DF76F8">
        <w:rPr>
          <w:rFonts w:ascii="Palatino Linotype" w:eastAsia="Times New Roman" w:hAnsi="Palatino Linotype"/>
          <w:bCs/>
          <w:sz w:val="22"/>
          <w:szCs w:val="22"/>
          <w:lang w:val="en-US" w:eastAsia="en-GB"/>
        </w:rPr>
        <w:t>8.8</w:t>
      </w:r>
      <w:r w:rsidRPr="00C57773">
        <w:rPr>
          <w:rFonts w:ascii="Palatino Linotype" w:eastAsia="Times New Roman" w:hAnsi="Palatino Linotype"/>
          <w:bCs/>
          <w:sz w:val="22"/>
          <w:szCs w:val="22"/>
          <w:lang w:val="en-US" w:eastAsia="en-GB"/>
        </w:rPr>
        <w:t xml:space="preserve"> per cent) followed by Shanghai Composite (</w:t>
      </w:r>
      <w:r w:rsidRPr="00DF76F8">
        <w:rPr>
          <w:rFonts w:ascii="Palatino Linotype" w:eastAsia="Times New Roman" w:hAnsi="Palatino Linotype"/>
          <w:bCs/>
          <w:sz w:val="22"/>
          <w:szCs w:val="22"/>
          <w:lang w:val="en-US" w:eastAsia="en-GB"/>
        </w:rPr>
        <w:t>16.3</w:t>
      </w:r>
      <w:r w:rsidRPr="00C57773">
        <w:rPr>
          <w:rFonts w:ascii="Palatino Linotype" w:eastAsia="Times New Roman" w:hAnsi="Palatino Linotype"/>
          <w:bCs/>
          <w:sz w:val="22"/>
          <w:szCs w:val="22"/>
          <w:lang w:val="en-US" w:eastAsia="en-GB"/>
        </w:rPr>
        <w:t xml:space="preserve"> per cent). </w:t>
      </w:r>
    </w:p>
    <w:p w:rsidR="009D5D54" w:rsidRPr="00C57773" w:rsidRDefault="009D5D54" w:rsidP="009D5D54">
      <w:pPr>
        <w:spacing w:line="276" w:lineRule="auto"/>
        <w:ind w:left="360"/>
        <w:jc w:val="both"/>
        <w:rPr>
          <w:rFonts w:ascii="Palatino Linotype" w:eastAsia="Times New Roman" w:hAnsi="Palatino Linotype"/>
          <w:bCs/>
          <w:color w:val="FF0000"/>
          <w:sz w:val="22"/>
          <w:szCs w:val="22"/>
          <w:lang w:val="en-US" w:eastAsia="en-GB"/>
        </w:rPr>
      </w:pPr>
    </w:p>
    <w:p w:rsidR="009D5D54" w:rsidRPr="00C57773" w:rsidRDefault="009D5D54" w:rsidP="009D5D54">
      <w:pPr>
        <w:numPr>
          <w:ilvl w:val="0"/>
          <w:numId w:val="8"/>
        </w:numPr>
        <w:spacing w:line="276" w:lineRule="auto"/>
        <w:jc w:val="both"/>
        <w:rPr>
          <w:rFonts w:ascii="Palatino Linotype" w:eastAsia="Times New Roman" w:hAnsi="Palatino Linotype"/>
          <w:bCs/>
          <w:color w:val="FF0000"/>
          <w:sz w:val="22"/>
          <w:szCs w:val="22"/>
          <w:lang w:val="en-US" w:eastAsia="en-GB"/>
        </w:rPr>
      </w:pPr>
      <w:r w:rsidRPr="00C57773">
        <w:rPr>
          <w:rFonts w:ascii="Palatino Linotype" w:eastAsia="Times New Roman" w:hAnsi="Palatino Linotype"/>
          <w:bCs/>
          <w:sz w:val="22"/>
          <w:szCs w:val="22"/>
          <w:lang w:val="en-US" w:eastAsia="en-GB"/>
        </w:rPr>
        <w:t xml:space="preserve">Among the developed markets, highest annualized volatility was observed in </w:t>
      </w:r>
      <w:r>
        <w:rPr>
          <w:rFonts w:ascii="Palatino Linotype" w:eastAsia="Times New Roman" w:hAnsi="Palatino Linotype"/>
          <w:bCs/>
          <w:sz w:val="22"/>
          <w:szCs w:val="22"/>
          <w:lang w:val="en-US" w:eastAsia="en-GB"/>
        </w:rPr>
        <w:t>USA Nasdaq Composite</w:t>
      </w:r>
      <w:r w:rsidRPr="00C57773">
        <w:rPr>
          <w:rFonts w:ascii="Palatino Linotype" w:eastAsia="Times New Roman" w:hAnsi="Palatino Linotype"/>
          <w:bCs/>
          <w:sz w:val="22"/>
          <w:szCs w:val="22"/>
          <w:lang w:val="en-US" w:eastAsia="en-GB"/>
        </w:rPr>
        <w:t xml:space="preserve"> (</w:t>
      </w:r>
      <w:r w:rsidRPr="00DF76F8">
        <w:rPr>
          <w:rFonts w:ascii="Palatino Linotype" w:eastAsia="Times New Roman" w:hAnsi="Palatino Linotype"/>
          <w:bCs/>
          <w:sz w:val="22"/>
          <w:szCs w:val="22"/>
          <w:lang w:val="en-US" w:eastAsia="en-GB"/>
        </w:rPr>
        <w:t>21.3</w:t>
      </w:r>
      <w:r w:rsidRPr="00C57773">
        <w:rPr>
          <w:rFonts w:ascii="Palatino Linotype" w:eastAsia="Times New Roman" w:hAnsi="Palatino Linotype"/>
          <w:bCs/>
          <w:sz w:val="22"/>
          <w:szCs w:val="22"/>
          <w:lang w:val="en-US" w:eastAsia="en-GB"/>
        </w:rPr>
        <w:t xml:space="preserve"> per cent) and the lowest was</w:t>
      </w:r>
      <w:r w:rsidRPr="00601BC6">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also</w:t>
      </w:r>
      <w:r w:rsidRPr="00C57773">
        <w:rPr>
          <w:rFonts w:ascii="Palatino Linotype" w:eastAsia="Times New Roman" w:hAnsi="Palatino Linotype"/>
          <w:bCs/>
          <w:sz w:val="22"/>
          <w:szCs w:val="22"/>
          <w:lang w:val="en-US" w:eastAsia="en-GB"/>
        </w:rPr>
        <w:t xml:space="preserve"> observed at </w:t>
      </w:r>
      <w:r>
        <w:rPr>
          <w:rFonts w:ascii="Palatino Linotype" w:eastAsia="Times New Roman" w:hAnsi="Palatino Linotype"/>
          <w:bCs/>
          <w:sz w:val="22"/>
          <w:szCs w:val="22"/>
          <w:lang w:val="en-US" w:eastAsia="en-GB"/>
        </w:rPr>
        <w:t xml:space="preserve">USA </w:t>
      </w:r>
      <w:r w:rsidRPr="00DF76F8">
        <w:rPr>
          <w:rFonts w:ascii="Palatino Linotype" w:eastAsia="Times New Roman" w:hAnsi="Palatino Linotype"/>
          <w:bCs/>
          <w:sz w:val="22"/>
          <w:szCs w:val="22"/>
          <w:lang w:val="en-US" w:eastAsia="en-GB"/>
        </w:rPr>
        <w:t>Dow Jones Indus. Avg</w:t>
      </w:r>
      <w:r w:rsidRPr="00C57773">
        <w:rPr>
          <w:rFonts w:ascii="Palatino Linotype" w:eastAsia="Times New Roman" w:hAnsi="Palatino Linotype"/>
          <w:bCs/>
          <w:sz w:val="22"/>
          <w:szCs w:val="22"/>
          <w:lang w:val="en-US" w:eastAsia="en-GB"/>
        </w:rPr>
        <w:t xml:space="preserve"> (</w:t>
      </w:r>
      <w:r w:rsidRPr="00DF76F8">
        <w:rPr>
          <w:rFonts w:ascii="Palatino Linotype" w:eastAsia="Times New Roman" w:hAnsi="Palatino Linotype"/>
          <w:bCs/>
          <w:sz w:val="22"/>
          <w:szCs w:val="22"/>
          <w:lang w:val="en-US" w:eastAsia="en-GB"/>
        </w:rPr>
        <w:t>12.1</w:t>
      </w:r>
      <w:r w:rsidRPr="00C57773">
        <w:rPr>
          <w:rFonts w:ascii="Palatino Linotype" w:eastAsia="Times New Roman" w:hAnsi="Palatino Linotype"/>
          <w:bCs/>
          <w:sz w:val="22"/>
          <w:szCs w:val="22"/>
          <w:lang w:val="en-US" w:eastAsia="en-GB"/>
        </w:rPr>
        <w:t xml:space="preserve"> per cent). </w:t>
      </w:r>
    </w:p>
    <w:p w:rsidR="009D5D54" w:rsidRPr="00C57773" w:rsidRDefault="009D5D54" w:rsidP="009D5D54">
      <w:pPr>
        <w:spacing w:line="276" w:lineRule="auto"/>
        <w:ind w:left="357"/>
        <w:jc w:val="both"/>
        <w:rPr>
          <w:rFonts w:ascii="Garamond" w:eastAsia="Times New Roman" w:hAnsi="Garamond"/>
          <w:bCs/>
          <w:color w:val="FF0000"/>
          <w:lang w:val="en-US" w:eastAsia="en-GB"/>
        </w:rPr>
      </w:pPr>
    </w:p>
    <w:p w:rsidR="009D5D54" w:rsidRPr="00C57773" w:rsidRDefault="009D5D54" w:rsidP="009D5D54">
      <w:pPr>
        <w:numPr>
          <w:ilvl w:val="0"/>
          <w:numId w:val="8"/>
        </w:numPr>
        <w:spacing w:line="276" w:lineRule="auto"/>
        <w:jc w:val="both"/>
        <w:rPr>
          <w:rFonts w:ascii="Palatino Linotype" w:eastAsia="Times New Roman" w:hAnsi="Palatino Linotype"/>
          <w:bCs/>
          <w:color w:val="FF0000"/>
          <w:sz w:val="22"/>
          <w:szCs w:val="22"/>
          <w:lang w:val="en-US" w:eastAsia="en-GB"/>
        </w:rPr>
      </w:pPr>
      <w:r w:rsidRPr="00C57773">
        <w:rPr>
          <w:rFonts w:ascii="Palatino Linotype" w:eastAsia="Times New Roman" w:hAnsi="Palatino Linotype"/>
          <w:bCs/>
          <w:sz w:val="22"/>
          <w:szCs w:val="22"/>
          <w:lang w:val="en-US" w:eastAsia="en-GB"/>
        </w:rPr>
        <w:t>In most of the analyzed markets</w:t>
      </w:r>
      <w:r w:rsidRPr="00C57773">
        <w:rPr>
          <w:rFonts w:ascii="Palatino Linotype" w:eastAsia="Times New Roman" w:hAnsi="Palatino Linotype"/>
          <w:bCs/>
          <w:sz w:val="22"/>
          <w:szCs w:val="22"/>
          <w:vertAlign w:val="superscript"/>
          <w:lang w:val="en-US" w:eastAsia="en-GB"/>
        </w:rPr>
        <w:footnoteReference w:id="3"/>
      </w:r>
      <w:r w:rsidRPr="00C57773">
        <w:rPr>
          <w:rFonts w:ascii="Palatino Linotype" w:eastAsia="Times New Roman" w:hAnsi="Palatino Linotype"/>
          <w:bCs/>
          <w:sz w:val="22"/>
          <w:szCs w:val="22"/>
          <w:lang w:val="en-US" w:eastAsia="en-GB"/>
        </w:rPr>
        <w:t xml:space="preserve">, </w:t>
      </w:r>
      <w:r w:rsidR="000B5243">
        <w:rPr>
          <w:rFonts w:ascii="Palatino Linotype" w:eastAsia="Times New Roman" w:hAnsi="Palatino Linotype"/>
          <w:bCs/>
          <w:sz w:val="22"/>
          <w:szCs w:val="22"/>
          <w:lang w:val="en-US" w:eastAsia="en-GB"/>
        </w:rPr>
        <w:t>indices declined</w:t>
      </w:r>
      <w:r w:rsidRPr="00C57773">
        <w:rPr>
          <w:rFonts w:ascii="Palatino Linotype" w:eastAsia="Times New Roman" w:hAnsi="Palatino Linotype"/>
          <w:bCs/>
          <w:sz w:val="22"/>
          <w:szCs w:val="22"/>
          <w:lang w:val="en-US" w:eastAsia="en-GB"/>
        </w:rPr>
        <w:t xml:space="preserve"> during </w:t>
      </w:r>
      <w:r>
        <w:rPr>
          <w:rFonts w:ascii="Palatino Linotype" w:eastAsia="Times New Roman" w:hAnsi="Palatino Linotype"/>
          <w:bCs/>
          <w:sz w:val="22"/>
          <w:szCs w:val="22"/>
          <w:lang w:val="en-US" w:eastAsia="en-GB"/>
        </w:rPr>
        <w:t>July</w:t>
      </w:r>
      <w:r w:rsidRPr="00C57773">
        <w:rPr>
          <w:rFonts w:ascii="Palatino Linotype" w:eastAsia="Times New Roman" w:hAnsi="Palatino Linotype"/>
          <w:bCs/>
          <w:sz w:val="22"/>
          <w:szCs w:val="22"/>
          <w:lang w:val="en-US" w:eastAsia="en-GB"/>
        </w:rPr>
        <w:t xml:space="preserve"> 2021 over the previous month. Amongst BRICS nations, an increase was observed in South Africa FTSE (</w:t>
      </w:r>
      <w:r w:rsidRPr="00FF7CF4">
        <w:rPr>
          <w:rFonts w:ascii="Palatino Linotype" w:eastAsia="Times New Roman" w:hAnsi="Palatino Linotype"/>
          <w:bCs/>
          <w:sz w:val="22"/>
          <w:szCs w:val="22"/>
          <w:lang w:val="en-US" w:eastAsia="en-GB"/>
        </w:rPr>
        <w:t>4.1</w:t>
      </w:r>
      <w:r w:rsidRPr="00C57773">
        <w:rPr>
          <w:rFonts w:ascii="Palatino Linotype" w:eastAsia="Times New Roman" w:hAnsi="Palatino Linotype"/>
          <w:bCs/>
          <w:sz w:val="22"/>
          <w:szCs w:val="22"/>
          <w:lang w:val="en-US" w:eastAsia="en-GB"/>
        </w:rPr>
        <w:t xml:space="preserve"> per cent), followed by India’s Nifty 50 &amp; S&amp;P BSE SENSEX (</w:t>
      </w:r>
      <w:r w:rsidRPr="00FF7CF4">
        <w:rPr>
          <w:rFonts w:ascii="Palatino Linotype" w:eastAsia="Times New Roman" w:hAnsi="Palatino Linotype"/>
          <w:bCs/>
          <w:sz w:val="22"/>
          <w:szCs w:val="22"/>
          <w:lang w:val="en-US" w:eastAsia="en-GB"/>
        </w:rPr>
        <w:t>0.3</w:t>
      </w:r>
      <w:r w:rsidRPr="00C57773">
        <w:rPr>
          <w:rFonts w:ascii="Palatino Linotype" w:eastAsia="Times New Roman" w:hAnsi="Palatino Linotype"/>
          <w:bCs/>
          <w:sz w:val="22"/>
          <w:szCs w:val="22"/>
          <w:lang w:val="en-US" w:eastAsia="en-GB"/>
        </w:rPr>
        <w:t xml:space="preserve"> and </w:t>
      </w:r>
      <w:r w:rsidRPr="00FF7CF4">
        <w:rPr>
          <w:rFonts w:ascii="Palatino Linotype" w:eastAsia="Times New Roman" w:hAnsi="Palatino Linotype"/>
          <w:bCs/>
          <w:sz w:val="22"/>
          <w:szCs w:val="22"/>
          <w:lang w:val="en-US" w:eastAsia="en-GB"/>
        </w:rPr>
        <w:t>0.2</w:t>
      </w:r>
      <w:r w:rsidRPr="00C57773">
        <w:rPr>
          <w:rFonts w:ascii="Palatino Linotype" w:eastAsia="Times New Roman" w:hAnsi="Palatino Linotype"/>
          <w:bCs/>
          <w:sz w:val="22"/>
          <w:szCs w:val="22"/>
          <w:lang w:val="en-US" w:eastAsia="en-GB"/>
        </w:rPr>
        <w:t xml:space="preserve"> per cent respectively).</w:t>
      </w:r>
      <w:r w:rsidR="000B5243" w:rsidRPr="000B5243">
        <w:rPr>
          <w:rFonts w:ascii="Palatino Linotype" w:eastAsia="Times New Roman" w:hAnsi="Palatino Linotype"/>
          <w:bCs/>
          <w:sz w:val="22"/>
          <w:szCs w:val="22"/>
          <w:lang w:val="en-US" w:eastAsia="en-GB"/>
        </w:rPr>
        <w:t xml:space="preserve"> </w:t>
      </w:r>
      <w:r w:rsidR="000B5243" w:rsidRPr="00C57773">
        <w:rPr>
          <w:rFonts w:ascii="Palatino Linotype" w:eastAsia="Times New Roman" w:hAnsi="Palatino Linotype"/>
          <w:bCs/>
          <w:sz w:val="22"/>
          <w:szCs w:val="22"/>
          <w:lang w:val="en-US" w:eastAsia="en-GB"/>
        </w:rPr>
        <w:t xml:space="preserve">Shanghai Composite </w:t>
      </w:r>
      <w:r w:rsidR="000B5243">
        <w:rPr>
          <w:rFonts w:ascii="Palatino Linotype" w:eastAsia="Times New Roman" w:hAnsi="Palatino Linotype"/>
          <w:bCs/>
          <w:sz w:val="22"/>
          <w:szCs w:val="22"/>
          <w:lang w:val="en-US" w:eastAsia="en-GB"/>
        </w:rPr>
        <w:t xml:space="preserve"> declined </w:t>
      </w:r>
      <w:r w:rsidR="000B5243" w:rsidRPr="00C57773">
        <w:rPr>
          <w:rFonts w:ascii="Palatino Linotype" w:eastAsia="Times New Roman" w:hAnsi="Palatino Linotype"/>
          <w:bCs/>
          <w:sz w:val="22"/>
          <w:szCs w:val="22"/>
          <w:lang w:val="en-US" w:eastAsia="en-GB"/>
        </w:rPr>
        <w:t xml:space="preserve">by </w:t>
      </w:r>
      <w:r w:rsidR="000B5243">
        <w:rPr>
          <w:rFonts w:ascii="Palatino Linotype" w:eastAsia="Times New Roman" w:hAnsi="Palatino Linotype"/>
          <w:bCs/>
          <w:sz w:val="22"/>
          <w:szCs w:val="22"/>
          <w:lang w:val="en-US" w:eastAsia="en-GB"/>
        </w:rPr>
        <w:t>5.4</w:t>
      </w:r>
      <w:r w:rsidR="000B5243" w:rsidRPr="00C57773">
        <w:rPr>
          <w:rFonts w:ascii="Palatino Linotype" w:eastAsia="Times New Roman" w:hAnsi="Palatino Linotype"/>
          <w:bCs/>
          <w:sz w:val="22"/>
          <w:szCs w:val="22"/>
          <w:lang w:val="en-US" w:eastAsia="en-GB"/>
        </w:rPr>
        <w:t xml:space="preserve"> per cent</w:t>
      </w:r>
      <w:r w:rsidR="000B5243">
        <w:rPr>
          <w:rFonts w:ascii="Palatino Linotype" w:eastAsia="Times New Roman" w:hAnsi="Palatino Linotype"/>
          <w:bCs/>
          <w:sz w:val="22"/>
          <w:szCs w:val="22"/>
          <w:lang w:val="en-US" w:eastAsia="en-GB"/>
        </w:rPr>
        <w:t xml:space="preserve"> followed by </w:t>
      </w:r>
      <w:r w:rsidR="000B5243" w:rsidRPr="00C57773">
        <w:rPr>
          <w:rFonts w:ascii="Palatino Linotype" w:eastAsia="Times New Roman" w:hAnsi="Palatino Linotype"/>
          <w:bCs/>
          <w:sz w:val="22"/>
          <w:szCs w:val="22"/>
          <w:lang w:val="en-US" w:eastAsia="en-GB"/>
        </w:rPr>
        <w:t xml:space="preserve">Brazil IBOVESPA </w:t>
      </w:r>
      <w:r w:rsidR="000B5243">
        <w:rPr>
          <w:rFonts w:ascii="Palatino Linotype" w:eastAsia="Times New Roman" w:hAnsi="Palatino Linotype"/>
          <w:bCs/>
          <w:sz w:val="22"/>
          <w:szCs w:val="22"/>
          <w:lang w:val="en-US" w:eastAsia="en-GB"/>
        </w:rPr>
        <w:t>(</w:t>
      </w:r>
      <w:r w:rsidR="000B5243" w:rsidRPr="00C57773">
        <w:rPr>
          <w:rFonts w:ascii="Palatino Linotype" w:eastAsia="Times New Roman" w:hAnsi="Palatino Linotype"/>
          <w:bCs/>
          <w:sz w:val="22"/>
          <w:szCs w:val="22"/>
          <w:lang w:val="en-US" w:eastAsia="en-GB"/>
        </w:rPr>
        <w:t xml:space="preserve"> </w:t>
      </w:r>
      <w:r w:rsidR="000B5243">
        <w:rPr>
          <w:rFonts w:ascii="Palatino Linotype" w:eastAsia="Times New Roman" w:hAnsi="Palatino Linotype"/>
          <w:bCs/>
          <w:sz w:val="22"/>
          <w:szCs w:val="22"/>
          <w:lang w:val="en-US" w:eastAsia="en-GB"/>
        </w:rPr>
        <w:t>3.9 per cent)</w:t>
      </w:r>
      <w:r w:rsidRPr="00C57773">
        <w:rPr>
          <w:rFonts w:ascii="Palatino Linotype" w:eastAsia="Times New Roman" w:hAnsi="Palatino Linotype"/>
          <w:bCs/>
          <w:sz w:val="22"/>
          <w:szCs w:val="22"/>
          <w:lang w:val="en-US" w:eastAsia="en-GB"/>
        </w:rPr>
        <w:t xml:space="preserve"> Russian Traded </w:t>
      </w:r>
      <w:r w:rsidR="000B5243">
        <w:rPr>
          <w:rFonts w:ascii="Palatino Linotype" w:eastAsia="Times New Roman" w:hAnsi="Palatino Linotype"/>
          <w:bCs/>
          <w:sz w:val="22"/>
          <w:szCs w:val="22"/>
          <w:lang w:val="en-US" w:eastAsia="en-GB"/>
        </w:rPr>
        <w:t>index (</w:t>
      </w:r>
      <w:r w:rsidRPr="00C57773">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1.8</w:t>
      </w:r>
      <w:r w:rsidRPr="00C57773">
        <w:rPr>
          <w:rFonts w:ascii="Palatino Linotype" w:eastAsia="Times New Roman" w:hAnsi="Palatino Linotype"/>
          <w:bCs/>
          <w:sz w:val="22"/>
          <w:szCs w:val="22"/>
          <w:lang w:val="en-US" w:eastAsia="en-GB"/>
        </w:rPr>
        <w:t xml:space="preserve"> per cent </w:t>
      </w:r>
      <w:r w:rsidR="000B5243">
        <w:rPr>
          <w:rFonts w:ascii="Palatino Linotype" w:eastAsia="Times New Roman" w:hAnsi="Palatino Linotype"/>
          <w:bCs/>
          <w:sz w:val="22"/>
          <w:szCs w:val="22"/>
          <w:lang w:val="en-US" w:eastAsia="en-GB"/>
        </w:rPr>
        <w:t>) .</w:t>
      </w:r>
      <w:r w:rsidRPr="00C57773">
        <w:rPr>
          <w:rFonts w:ascii="Palatino Linotype" w:eastAsia="Times New Roman" w:hAnsi="Palatino Linotype"/>
          <w:bCs/>
          <w:sz w:val="22"/>
          <w:szCs w:val="22"/>
          <w:lang w:val="en-US" w:eastAsia="en-GB"/>
        </w:rPr>
        <w:t xml:space="preserve"> </w:t>
      </w:r>
    </w:p>
    <w:p w:rsidR="009D5D54" w:rsidRPr="00C57773" w:rsidRDefault="009D5D54" w:rsidP="009D5D54">
      <w:pPr>
        <w:spacing w:line="276" w:lineRule="auto"/>
        <w:ind w:left="357"/>
        <w:jc w:val="both"/>
        <w:rPr>
          <w:rFonts w:ascii="Garamond" w:eastAsia="Times New Roman" w:hAnsi="Garamond"/>
          <w:bCs/>
          <w:color w:val="FF0000"/>
          <w:lang w:val="en-US" w:eastAsia="en-GB"/>
        </w:rPr>
      </w:pPr>
    </w:p>
    <w:p w:rsidR="009D5D54" w:rsidRDefault="009D5D54" w:rsidP="006813C9">
      <w:pPr>
        <w:numPr>
          <w:ilvl w:val="0"/>
          <w:numId w:val="8"/>
        </w:numPr>
        <w:spacing w:line="276" w:lineRule="auto"/>
        <w:contextualSpacing/>
        <w:jc w:val="both"/>
        <w:rPr>
          <w:rFonts w:ascii="Garamond" w:hAnsi="Garamond"/>
          <w:b/>
          <w:bCs/>
          <w:noProof/>
          <w:lang w:val="en-US"/>
        </w:rPr>
      </w:pPr>
      <w:r w:rsidRPr="00C57773">
        <w:rPr>
          <w:rFonts w:ascii="Palatino Linotype" w:eastAsia="Times New Roman" w:hAnsi="Palatino Linotype"/>
          <w:bCs/>
          <w:sz w:val="22"/>
          <w:szCs w:val="22"/>
          <w:lang w:val="en-US" w:eastAsia="en-GB"/>
        </w:rPr>
        <w:t xml:space="preserve">Among the developed </w:t>
      </w:r>
      <w:r w:rsidR="000B5243">
        <w:rPr>
          <w:rFonts w:ascii="Palatino Linotype" w:eastAsia="Times New Roman" w:hAnsi="Palatino Linotype"/>
          <w:bCs/>
          <w:sz w:val="22"/>
          <w:szCs w:val="22"/>
          <w:lang w:val="en-US" w:eastAsia="en-GB"/>
        </w:rPr>
        <w:t>markets</w:t>
      </w:r>
      <w:r w:rsidRPr="00C57773">
        <w:rPr>
          <w:rFonts w:ascii="Palatino Linotype" w:eastAsia="Times New Roman" w:hAnsi="Palatino Linotype"/>
          <w:bCs/>
          <w:sz w:val="22"/>
          <w:szCs w:val="22"/>
          <w:lang w:val="en-US" w:eastAsia="en-GB"/>
        </w:rPr>
        <w:t xml:space="preserve">, in the month of </w:t>
      </w:r>
      <w:r>
        <w:rPr>
          <w:rFonts w:ascii="Palatino Linotype" w:eastAsia="Times New Roman" w:hAnsi="Palatino Linotype"/>
          <w:bCs/>
          <w:sz w:val="22"/>
          <w:szCs w:val="22"/>
          <w:lang w:val="en-US" w:eastAsia="en-GB"/>
        </w:rPr>
        <w:t>July</w:t>
      </w:r>
      <w:r w:rsidRPr="00C57773">
        <w:rPr>
          <w:rFonts w:ascii="Palatino Linotype" w:eastAsia="Times New Roman" w:hAnsi="Palatino Linotype"/>
          <w:bCs/>
          <w:sz w:val="22"/>
          <w:szCs w:val="22"/>
          <w:lang w:val="en-US" w:eastAsia="en-GB"/>
        </w:rPr>
        <w:t xml:space="preserve"> 2021, highest </w:t>
      </w:r>
      <w:r w:rsidR="000B5243">
        <w:rPr>
          <w:rFonts w:ascii="Palatino Linotype" w:eastAsia="Times New Roman" w:hAnsi="Palatino Linotype"/>
          <w:bCs/>
          <w:sz w:val="22"/>
          <w:szCs w:val="22"/>
          <w:lang w:val="en-US" w:eastAsia="en-GB"/>
        </w:rPr>
        <w:t>uptrend</w:t>
      </w:r>
      <w:r w:rsidRPr="00C57773">
        <w:rPr>
          <w:rFonts w:ascii="Palatino Linotype" w:eastAsia="Times New Roman" w:hAnsi="Palatino Linotype"/>
          <w:bCs/>
          <w:sz w:val="22"/>
          <w:szCs w:val="22"/>
          <w:lang w:val="en-US" w:eastAsia="en-GB"/>
        </w:rPr>
        <w:t xml:space="preserve"> was observed for France CAC 40 (</w:t>
      </w:r>
      <w:r w:rsidRPr="00102421">
        <w:rPr>
          <w:rFonts w:ascii="Palatino Linotype" w:eastAsia="Times New Roman" w:hAnsi="Palatino Linotype"/>
          <w:bCs/>
          <w:sz w:val="22"/>
          <w:szCs w:val="22"/>
          <w:lang w:val="en-US" w:eastAsia="en-GB"/>
        </w:rPr>
        <w:t>1.6</w:t>
      </w:r>
      <w:r w:rsidRPr="00C57773">
        <w:rPr>
          <w:rFonts w:ascii="Palatino Linotype" w:eastAsia="Times New Roman" w:hAnsi="Palatino Linotype"/>
          <w:bCs/>
          <w:sz w:val="22"/>
          <w:szCs w:val="22"/>
          <w:lang w:val="en-US" w:eastAsia="en-GB"/>
        </w:rPr>
        <w:t xml:space="preserve"> per cent) followed by USA Dow Jones (</w:t>
      </w:r>
      <w:r w:rsidRPr="0077567B">
        <w:rPr>
          <w:rFonts w:ascii="Palatino Linotype" w:eastAsia="Times New Roman" w:hAnsi="Palatino Linotype"/>
          <w:bCs/>
          <w:sz w:val="22"/>
          <w:szCs w:val="22"/>
          <w:lang w:val="en-US" w:eastAsia="en-GB"/>
        </w:rPr>
        <w:t>1.3</w:t>
      </w:r>
      <w:r w:rsidRPr="00C57773">
        <w:rPr>
          <w:rFonts w:ascii="Palatino Linotype" w:eastAsia="Times New Roman" w:hAnsi="Palatino Linotype"/>
          <w:bCs/>
          <w:sz w:val="22"/>
          <w:szCs w:val="22"/>
          <w:lang w:val="en-US" w:eastAsia="en-GB"/>
        </w:rPr>
        <w:t xml:space="preserve"> per cent). A </w:t>
      </w:r>
      <w:r w:rsidR="000B5243">
        <w:rPr>
          <w:rFonts w:ascii="Palatino Linotype" w:eastAsia="Times New Roman" w:hAnsi="Palatino Linotype"/>
          <w:bCs/>
          <w:sz w:val="22"/>
          <w:szCs w:val="22"/>
          <w:lang w:val="en-US" w:eastAsia="en-GB"/>
        </w:rPr>
        <w:t>fall in indices</w:t>
      </w:r>
      <w:r w:rsidRPr="00C57773">
        <w:rPr>
          <w:rFonts w:ascii="Palatino Linotype" w:eastAsia="Times New Roman" w:hAnsi="Palatino Linotype"/>
          <w:bCs/>
          <w:sz w:val="22"/>
          <w:szCs w:val="22"/>
          <w:lang w:val="en-US" w:eastAsia="en-GB"/>
        </w:rPr>
        <w:t xml:space="preserve"> was observed in Japan Nikkei (</w:t>
      </w:r>
      <w:r>
        <w:rPr>
          <w:rFonts w:ascii="Palatino Linotype" w:eastAsia="Times New Roman" w:hAnsi="Palatino Linotype"/>
          <w:bCs/>
          <w:sz w:val="22"/>
          <w:szCs w:val="22"/>
          <w:lang w:val="en-US" w:eastAsia="en-GB"/>
        </w:rPr>
        <w:t>5.2</w:t>
      </w:r>
      <w:r w:rsidRPr="00C57773">
        <w:rPr>
          <w:rFonts w:ascii="Palatino Linotype" w:eastAsia="Times New Roman" w:hAnsi="Palatino Linotype"/>
          <w:bCs/>
          <w:sz w:val="22"/>
          <w:szCs w:val="22"/>
          <w:lang w:val="en-US" w:eastAsia="en-GB"/>
        </w:rPr>
        <w:t xml:space="preserve"> per cent) followed by </w:t>
      </w:r>
      <w:r>
        <w:rPr>
          <w:rFonts w:ascii="Palatino Linotype" w:eastAsia="Times New Roman" w:hAnsi="Palatino Linotype"/>
          <w:bCs/>
          <w:sz w:val="22"/>
          <w:szCs w:val="22"/>
          <w:lang w:val="en-US" w:eastAsia="en-GB"/>
        </w:rPr>
        <w:t xml:space="preserve">South Korea </w:t>
      </w:r>
      <w:r w:rsidRPr="004F0C83">
        <w:rPr>
          <w:rFonts w:ascii="Palatino Linotype" w:eastAsia="Times New Roman" w:hAnsi="Palatino Linotype"/>
          <w:bCs/>
          <w:sz w:val="22"/>
          <w:szCs w:val="22"/>
          <w:lang w:val="en-US" w:eastAsia="en-GB"/>
        </w:rPr>
        <w:t xml:space="preserve">KOSPI </w:t>
      </w:r>
      <w:r w:rsidRPr="00C57773">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2.9</w:t>
      </w:r>
      <w:r w:rsidRPr="00C57773">
        <w:rPr>
          <w:rFonts w:ascii="Palatino Linotype" w:eastAsia="Times New Roman" w:hAnsi="Palatino Linotype"/>
          <w:bCs/>
          <w:sz w:val="22"/>
          <w:szCs w:val="22"/>
          <w:lang w:val="en-US" w:eastAsia="en-GB"/>
        </w:rPr>
        <w:t xml:space="preserve"> per cent). </w:t>
      </w: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8A27DC" w:rsidRDefault="008A27DC" w:rsidP="009D5D54">
      <w:pPr>
        <w:spacing w:line="23" w:lineRule="atLeast"/>
        <w:jc w:val="both"/>
        <w:outlineLvl w:val="0"/>
        <w:rPr>
          <w:rFonts w:ascii="Garamond" w:hAnsi="Garamond"/>
          <w:b/>
          <w:bCs/>
          <w:noProof/>
          <w:lang w:val="en-US"/>
        </w:rPr>
      </w:pPr>
    </w:p>
    <w:p w:rsidR="008A27DC" w:rsidRDefault="008A27DC" w:rsidP="009D5D54">
      <w:pPr>
        <w:spacing w:line="23" w:lineRule="atLeast"/>
        <w:jc w:val="both"/>
        <w:outlineLvl w:val="0"/>
        <w:rPr>
          <w:rFonts w:ascii="Garamond" w:hAnsi="Garamond"/>
          <w:b/>
          <w:bCs/>
          <w:noProof/>
          <w:lang w:val="en-US"/>
        </w:rPr>
      </w:pPr>
    </w:p>
    <w:p w:rsidR="008A27DC" w:rsidRDefault="008A27DC" w:rsidP="009D5D54">
      <w:pPr>
        <w:spacing w:line="23" w:lineRule="atLeast"/>
        <w:jc w:val="both"/>
        <w:outlineLvl w:val="0"/>
        <w:rPr>
          <w:rFonts w:ascii="Garamond" w:hAnsi="Garamond"/>
          <w:b/>
          <w:bCs/>
          <w:noProof/>
          <w:lang w:val="en-US"/>
        </w:rPr>
      </w:pPr>
    </w:p>
    <w:p w:rsidR="008A27DC" w:rsidRDefault="008A27DC"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Default="009D5D54" w:rsidP="009D5D54">
      <w:pPr>
        <w:spacing w:line="23" w:lineRule="atLeast"/>
        <w:jc w:val="both"/>
        <w:outlineLvl w:val="0"/>
        <w:rPr>
          <w:rFonts w:ascii="Garamond" w:hAnsi="Garamond"/>
          <w:b/>
          <w:bCs/>
          <w:noProof/>
          <w:lang w:val="en-US"/>
        </w:rPr>
      </w:pPr>
    </w:p>
    <w:p w:rsidR="009D5D54" w:rsidRPr="002622E2" w:rsidRDefault="009D5D54" w:rsidP="009D5D54">
      <w:pPr>
        <w:spacing w:line="23" w:lineRule="atLeast"/>
        <w:jc w:val="both"/>
        <w:outlineLvl w:val="0"/>
        <w:rPr>
          <w:rFonts w:ascii="Garamond" w:hAnsi="Garamond"/>
          <w:b/>
          <w:bCs/>
          <w:szCs w:val="22"/>
        </w:rPr>
      </w:pPr>
      <w:r w:rsidRPr="002622E2">
        <w:rPr>
          <w:rFonts w:ascii="Garamond" w:hAnsi="Garamond"/>
          <w:b/>
          <w:bCs/>
          <w:noProof/>
          <w:lang w:val="en-US"/>
        </w:rPr>
        <w:lastRenderedPageBreak/>
        <w:t>Figure</w:t>
      </w:r>
      <w:r w:rsidRPr="002622E2">
        <w:rPr>
          <w:rFonts w:ascii="Garamond" w:hAnsi="Garamond"/>
          <w:b/>
          <w:bCs/>
          <w:szCs w:val="22"/>
        </w:rPr>
        <w:t xml:space="preserve"> 1: Stock Market Trends in Selected Developed Markets</w:t>
      </w:r>
    </w:p>
    <w:p w:rsidR="009D5D54" w:rsidRPr="002622E2" w:rsidRDefault="009D5D54" w:rsidP="009D5D54">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4A13BF9A" wp14:editId="6B9BF6DE">
            <wp:extent cx="5535295" cy="3462020"/>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5295" cy="3462020"/>
                    </a:xfrm>
                    <a:prstGeom prst="rect">
                      <a:avLst/>
                    </a:prstGeom>
                    <a:noFill/>
                  </pic:spPr>
                </pic:pic>
              </a:graphicData>
            </a:graphic>
          </wp:inline>
        </w:drawing>
      </w:r>
    </w:p>
    <w:p w:rsidR="009D5D54" w:rsidRPr="002622E2" w:rsidRDefault="009D5D54" w:rsidP="009D5D54">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31 July 2020</w:t>
      </w:r>
      <w:r w:rsidRPr="002622E2">
        <w:rPr>
          <w:rFonts w:ascii="Garamond" w:hAnsi="Garamond"/>
          <w:bCs/>
          <w:sz w:val="18"/>
          <w:szCs w:val="18"/>
        </w:rPr>
        <w:t>.</w:t>
      </w:r>
    </w:p>
    <w:p w:rsidR="009D5D54" w:rsidRPr="002622E2" w:rsidRDefault="009D5D54" w:rsidP="009D5D54">
      <w:pPr>
        <w:spacing w:line="23" w:lineRule="atLeast"/>
        <w:jc w:val="both"/>
        <w:outlineLvl w:val="0"/>
        <w:rPr>
          <w:rFonts w:ascii="Garamond" w:hAnsi="Garamond"/>
          <w:bCs/>
          <w:sz w:val="18"/>
          <w:szCs w:val="18"/>
        </w:rPr>
      </w:pPr>
      <w:r w:rsidRPr="002622E2">
        <w:rPr>
          <w:rFonts w:ascii="Garamond" w:hAnsi="Garamond"/>
          <w:bCs/>
          <w:sz w:val="18"/>
          <w:szCs w:val="18"/>
        </w:rPr>
        <w:t>Source: Refinitiv</w:t>
      </w:r>
    </w:p>
    <w:p w:rsidR="009D5D54" w:rsidRPr="00073FE2" w:rsidRDefault="009D5D54" w:rsidP="009D5D54">
      <w:pPr>
        <w:spacing w:line="23" w:lineRule="atLeast"/>
        <w:rPr>
          <w:rFonts w:ascii="Garamond" w:hAnsi="Garamond"/>
          <w:bCs/>
          <w:strike/>
          <w:sz w:val="22"/>
          <w:szCs w:val="22"/>
        </w:rPr>
      </w:pPr>
    </w:p>
    <w:p w:rsidR="009D5D54" w:rsidRPr="002622E2" w:rsidRDefault="009D5D54" w:rsidP="009D5D54">
      <w:pPr>
        <w:spacing w:line="23" w:lineRule="atLeast"/>
        <w:rPr>
          <w:rFonts w:ascii="Garamond" w:hAnsi="Garamond"/>
          <w:b/>
          <w:bCs/>
          <w:szCs w:val="22"/>
        </w:rPr>
      </w:pPr>
    </w:p>
    <w:p w:rsidR="009D5D54" w:rsidRPr="002622E2" w:rsidRDefault="009D5D54" w:rsidP="009D5D54">
      <w:pPr>
        <w:rPr>
          <w:rFonts w:ascii="Garamond" w:hAnsi="Garamond"/>
          <w:b/>
          <w:bCs/>
          <w:szCs w:val="22"/>
        </w:rPr>
      </w:pPr>
      <w:r w:rsidRPr="002622E2">
        <w:rPr>
          <w:rFonts w:ascii="Garamond" w:hAnsi="Garamond"/>
          <w:b/>
          <w:bCs/>
          <w:szCs w:val="22"/>
        </w:rPr>
        <w:t>Figure 2: Stock Market Trends in Selected Emerging Markets</w:t>
      </w:r>
    </w:p>
    <w:p w:rsidR="009D5D54" w:rsidRPr="002622E2" w:rsidRDefault="009D5D54" w:rsidP="009D5D54">
      <w:pPr>
        <w:spacing w:line="23" w:lineRule="atLeast"/>
        <w:rPr>
          <w:rFonts w:ascii="Garamond" w:hAnsi="Garamond"/>
          <w:bCs/>
          <w:sz w:val="22"/>
          <w:szCs w:val="22"/>
        </w:rPr>
      </w:pPr>
      <w:r>
        <w:rPr>
          <w:rFonts w:ascii="Garamond" w:hAnsi="Garamond"/>
          <w:bCs/>
          <w:noProof/>
          <w:sz w:val="22"/>
          <w:szCs w:val="22"/>
          <w:lang w:val="en-IN" w:eastAsia="en-IN" w:bidi="hi-IN"/>
        </w:rPr>
        <w:drawing>
          <wp:inline distT="0" distB="0" distL="0" distR="0" wp14:anchorId="72AA5235" wp14:editId="411A4D99">
            <wp:extent cx="5535295" cy="3465195"/>
            <wp:effectExtent l="0" t="0" r="825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5295" cy="3465195"/>
                    </a:xfrm>
                    <a:prstGeom prst="rect">
                      <a:avLst/>
                    </a:prstGeom>
                    <a:noFill/>
                  </pic:spPr>
                </pic:pic>
              </a:graphicData>
            </a:graphic>
          </wp:inline>
        </w:drawing>
      </w:r>
    </w:p>
    <w:p w:rsidR="009D5D54" w:rsidRPr="002622E2" w:rsidRDefault="009D5D54" w:rsidP="009D5D54">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31 July</w:t>
      </w:r>
      <w:r w:rsidRPr="00483369">
        <w:rPr>
          <w:rFonts w:ascii="Garamond" w:hAnsi="Garamond"/>
          <w:bCs/>
          <w:sz w:val="18"/>
          <w:szCs w:val="18"/>
        </w:rPr>
        <w:t xml:space="preserve"> </w:t>
      </w:r>
      <w:r>
        <w:rPr>
          <w:rFonts w:ascii="Garamond" w:hAnsi="Garamond"/>
          <w:bCs/>
          <w:sz w:val="18"/>
          <w:szCs w:val="18"/>
        </w:rPr>
        <w:t>2020</w:t>
      </w:r>
      <w:r w:rsidRPr="002622E2">
        <w:rPr>
          <w:rFonts w:ascii="Garamond" w:hAnsi="Garamond"/>
          <w:bCs/>
          <w:sz w:val="18"/>
          <w:szCs w:val="18"/>
        </w:rPr>
        <w:t>.</w:t>
      </w:r>
    </w:p>
    <w:p w:rsidR="009D5D54" w:rsidRPr="0066149F" w:rsidRDefault="009D5D54" w:rsidP="009D5D54">
      <w:pPr>
        <w:spacing w:line="23" w:lineRule="atLeast"/>
        <w:jc w:val="both"/>
        <w:outlineLvl w:val="0"/>
        <w:rPr>
          <w:rFonts w:ascii="Garamond" w:eastAsia="Times New Roman" w:hAnsi="Garamond"/>
          <w:b/>
          <w:szCs w:val="22"/>
          <w:u w:val="single"/>
          <w:lang w:val="en-US" w:eastAsia="en-GB"/>
        </w:rPr>
      </w:pPr>
      <w:r w:rsidRPr="002622E2">
        <w:rPr>
          <w:rFonts w:ascii="Garamond" w:hAnsi="Garamond"/>
          <w:bCs/>
          <w:sz w:val="18"/>
          <w:szCs w:val="18"/>
        </w:rPr>
        <w:t>Source: Refinitiv</w:t>
      </w:r>
    </w:p>
    <w:p w:rsidR="009D5D54" w:rsidRPr="008977C1" w:rsidRDefault="009D5D54" w:rsidP="009D5D54">
      <w:pPr>
        <w:spacing w:line="276" w:lineRule="auto"/>
        <w:ind w:left="720"/>
        <w:contextualSpacing/>
        <w:rPr>
          <w:rFonts w:ascii="Garamond" w:hAnsi="Garamond"/>
          <w:bCs/>
          <w:sz w:val="22"/>
          <w:szCs w:val="22"/>
          <w:lang w:val="en-US"/>
        </w:rPr>
      </w:pPr>
      <w:r w:rsidRPr="0066149F">
        <w:rPr>
          <w:rFonts w:ascii="Garamond" w:eastAsia="Times New Roman" w:hAnsi="Garamond"/>
          <w:b/>
          <w:sz w:val="22"/>
          <w:szCs w:val="22"/>
          <w:u w:val="single"/>
          <w:lang w:val="en-US" w:eastAsia="en-GB"/>
        </w:rPr>
        <w:t>B</w:t>
      </w:r>
      <w:r>
        <w:rPr>
          <w:rFonts w:ascii="Garamond" w:eastAsia="Times New Roman" w:hAnsi="Garamond"/>
          <w:b/>
          <w:sz w:val="22"/>
          <w:szCs w:val="22"/>
          <w:u w:val="single"/>
          <w:lang w:val="en-US" w:eastAsia="en-GB"/>
        </w:rPr>
        <w:t>ond</w:t>
      </w:r>
      <w:r w:rsidRPr="0066149F">
        <w:rPr>
          <w:rFonts w:ascii="Garamond" w:eastAsia="Times New Roman" w:hAnsi="Garamond"/>
          <w:b/>
          <w:sz w:val="22"/>
          <w:szCs w:val="22"/>
          <w:u w:val="single"/>
          <w:lang w:val="en-US" w:eastAsia="en-GB"/>
        </w:rPr>
        <w:t xml:space="preserve"> Market (Figures 3-4)</w:t>
      </w:r>
    </w:p>
    <w:p w:rsidR="009D5D54" w:rsidRPr="00DB2C8E" w:rsidRDefault="009D5D54" w:rsidP="009D5D54">
      <w:pPr>
        <w:numPr>
          <w:ilvl w:val="0"/>
          <w:numId w:val="8"/>
        </w:numPr>
        <w:spacing w:line="276" w:lineRule="auto"/>
        <w:contextualSpacing/>
        <w:jc w:val="both"/>
        <w:rPr>
          <w:rFonts w:ascii="Palatino Linotype" w:hAnsi="Palatino Linotype"/>
          <w:bCs/>
          <w:color w:val="FF0000"/>
          <w:sz w:val="22"/>
          <w:szCs w:val="22"/>
          <w:lang w:val="en-US"/>
        </w:rPr>
      </w:pPr>
      <w:r w:rsidRPr="00DB2C8E">
        <w:rPr>
          <w:rFonts w:ascii="Palatino Linotype" w:eastAsia="Times New Roman" w:hAnsi="Palatino Linotype"/>
          <w:bCs/>
          <w:color w:val="000000"/>
          <w:sz w:val="22"/>
          <w:szCs w:val="22"/>
          <w:lang w:val="en-US" w:eastAsia="en-GB"/>
        </w:rPr>
        <w:t>Among the countries analysed</w:t>
      </w:r>
      <w:r w:rsidRPr="00DB2C8E">
        <w:rPr>
          <w:rFonts w:ascii="Palatino Linotype" w:eastAsia="Times New Roman" w:hAnsi="Palatino Linotype"/>
          <w:bCs/>
          <w:color w:val="000000"/>
          <w:sz w:val="22"/>
          <w:szCs w:val="22"/>
          <w:vertAlign w:val="superscript"/>
          <w:lang w:val="en-US" w:eastAsia="en-GB"/>
        </w:rPr>
        <w:footnoteReference w:id="4"/>
      </w:r>
      <w:r w:rsidRPr="00DB2C8E">
        <w:rPr>
          <w:rFonts w:ascii="Palatino Linotype" w:eastAsia="Times New Roman" w:hAnsi="Palatino Linotype"/>
          <w:bCs/>
          <w:color w:val="000000"/>
          <w:sz w:val="22"/>
          <w:szCs w:val="22"/>
          <w:lang w:val="en-US" w:eastAsia="en-GB"/>
        </w:rPr>
        <w:t xml:space="preserve">, for bond yield, 10-year bond yield in </w:t>
      </w:r>
      <w:r>
        <w:rPr>
          <w:rFonts w:ascii="Palatino Linotype" w:eastAsia="Times New Roman" w:hAnsi="Palatino Linotype"/>
          <w:bCs/>
          <w:color w:val="000000"/>
          <w:sz w:val="22"/>
          <w:szCs w:val="22"/>
          <w:lang w:val="en-US" w:eastAsia="en-GB"/>
        </w:rPr>
        <w:t>July</w:t>
      </w:r>
      <w:r w:rsidRPr="00DB2C8E">
        <w:rPr>
          <w:rFonts w:ascii="Palatino Linotype" w:eastAsia="Times New Roman" w:hAnsi="Palatino Linotype"/>
          <w:bCs/>
          <w:color w:val="000000"/>
          <w:sz w:val="22"/>
          <w:szCs w:val="22"/>
          <w:lang w:val="en-US" w:eastAsia="en-GB"/>
        </w:rPr>
        <w:t xml:space="preserve"> 2021, a negative change was observed for most developed and developing economies (</w:t>
      </w:r>
      <w:r w:rsidRPr="00DB2C8E">
        <w:rPr>
          <w:rFonts w:ascii="Palatino Linotype" w:eastAsia="Times New Roman" w:hAnsi="Palatino Linotype"/>
          <w:b/>
          <w:color w:val="000000"/>
          <w:sz w:val="22"/>
          <w:szCs w:val="22"/>
          <w:lang w:val="en-US" w:eastAsia="en-GB"/>
        </w:rPr>
        <w:t>Chart 3 &amp; 4</w:t>
      </w:r>
      <w:r w:rsidRPr="00DB2C8E">
        <w:rPr>
          <w:rFonts w:ascii="Palatino Linotype" w:eastAsia="Times New Roman" w:hAnsi="Palatino Linotype"/>
          <w:bCs/>
          <w:color w:val="000000"/>
          <w:sz w:val="22"/>
          <w:szCs w:val="22"/>
          <w:lang w:val="en-US" w:eastAsia="en-GB"/>
        </w:rPr>
        <w:t>).</w:t>
      </w:r>
    </w:p>
    <w:p w:rsidR="009D5D54" w:rsidRPr="0066149F" w:rsidRDefault="009D5D54" w:rsidP="009D5D54">
      <w:pPr>
        <w:spacing w:line="23" w:lineRule="atLeast"/>
        <w:rPr>
          <w:rFonts w:ascii="Garamond" w:hAnsi="Garamond"/>
          <w:bCs/>
          <w:sz w:val="22"/>
          <w:szCs w:val="22"/>
        </w:rPr>
      </w:pPr>
    </w:p>
    <w:p w:rsidR="009D5D54" w:rsidRPr="004C4151" w:rsidRDefault="009D5D54" w:rsidP="009D5D54">
      <w:pPr>
        <w:rPr>
          <w:rFonts w:ascii="Garamond" w:hAnsi="Garamond"/>
          <w:b/>
          <w:bCs/>
          <w:szCs w:val="22"/>
        </w:rPr>
      </w:pPr>
      <w:r w:rsidRPr="004C4151">
        <w:rPr>
          <w:rFonts w:ascii="Garamond" w:hAnsi="Garamond"/>
          <w:b/>
          <w:bCs/>
          <w:szCs w:val="22"/>
        </w:rPr>
        <w:lastRenderedPageBreak/>
        <w:t>Figure 3: Movement of 10-year Government Bond Yields in Developed Nations</w:t>
      </w:r>
    </w:p>
    <w:p w:rsidR="009D5D54" w:rsidRPr="004C4151" w:rsidRDefault="009D5D54" w:rsidP="009D5D54">
      <w:pPr>
        <w:rPr>
          <w:rFonts w:ascii="Garamond" w:hAnsi="Garamond"/>
          <w:bCs/>
          <w:sz w:val="22"/>
          <w:szCs w:val="22"/>
        </w:rPr>
      </w:pPr>
    </w:p>
    <w:p w:rsidR="009D5D54" w:rsidRPr="004C4151" w:rsidRDefault="009D5D54" w:rsidP="009D5D54">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0B209E3D" wp14:editId="41399012">
            <wp:extent cx="5558790" cy="27813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8790" cy="2781300"/>
                    </a:xfrm>
                    <a:prstGeom prst="rect">
                      <a:avLst/>
                    </a:prstGeom>
                    <a:noFill/>
                  </pic:spPr>
                </pic:pic>
              </a:graphicData>
            </a:graphic>
          </wp:inline>
        </w:drawing>
      </w:r>
    </w:p>
    <w:p w:rsidR="009D5D54" w:rsidRPr="004C4151" w:rsidRDefault="009D5D54" w:rsidP="009D5D54">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9D5D54" w:rsidRPr="004C4151" w:rsidRDefault="009D5D54" w:rsidP="009D5D54">
      <w:pPr>
        <w:spacing w:line="23" w:lineRule="atLeast"/>
        <w:jc w:val="both"/>
        <w:outlineLvl w:val="0"/>
        <w:rPr>
          <w:rFonts w:ascii="Garamond" w:hAnsi="Garamond"/>
          <w:bCs/>
          <w:sz w:val="22"/>
          <w:szCs w:val="22"/>
        </w:rPr>
      </w:pPr>
    </w:p>
    <w:p w:rsidR="009D5D54" w:rsidRPr="004C4151" w:rsidRDefault="009D5D54" w:rsidP="009D5D54">
      <w:pPr>
        <w:rPr>
          <w:rFonts w:ascii="Garamond" w:hAnsi="Garamond"/>
          <w:bCs/>
          <w:sz w:val="22"/>
          <w:szCs w:val="22"/>
        </w:rPr>
      </w:pPr>
    </w:p>
    <w:p w:rsidR="009D5D54" w:rsidRPr="004C4151" w:rsidRDefault="009D5D54" w:rsidP="009D5D54">
      <w:pPr>
        <w:spacing w:line="23" w:lineRule="atLeast"/>
        <w:jc w:val="both"/>
        <w:outlineLvl w:val="0"/>
        <w:rPr>
          <w:rFonts w:ascii="Garamond" w:hAnsi="Garamond"/>
          <w:b/>
          <w:bCs/>
          <w:szCs w:val="22"/>
        </w:rPr>
      </w:pPr>
      <w:r w:rsidRPr="004C4151">
        <w:rPr>
          <w:rFonts w:ascii="Garamond" w:hAnsi="Garamond"/>
          <w:b/>
          <w:bCs/>
          <w:szCs w:val="22"/>
        </w:rPr>
        <w:t>Figure 4: Movement of 10-year Government Bond Yields in BRIC Nations</w:t>
      </w:r>
    </w:p>
    <w:p w:rsidR="009D5D54" w:rsidRPr="004C4151" w:rsidRDefault="009D5D54" w:rsidP="009D5D54">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7D633BAF" wp14:editId="46520672">
            <wp:extent cx="5558790" cy="278511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8790" cy="2785110"/>
                    </a:xfrm>
                    <a:prstGeom prst="rect">
                      <a:avLst/>
                    </a:prstGeom>
                    <a:noFill/>
                  </pic:spPr>
                </pic:pic>
              </a:graphicData>
            </a:graphic>
          </wp:inline>
        </w:drawing>
      </w:r>
    </w:p>
    <w:p w:rsidR="009D5D54" w:rsidRPr="004C4151" w:rsidRDefault="009D5D54" w:rsidP="009D5D54">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9D5D54" w:rsidRPr="004C4151" w:rsidRDefault="009D5D54" w:rsidP="009D5D54">
      <w:pPr>
        <w:spacing w:line="23" w:lineRule="atLeast"/>
        <w:jc w:val="both"/>
        <w:rPr>
          <w:rFonts w:ascii="Garamond" w:eastAsia="Times New Roman" w:hAnsi="Garamond"/>
          <w:bCs/>
          <w:sz w:val="22"/>
          <w:szCs w:val="22"/>
          <w:lang w:val="en-US"/>
        </w:rPr>
      </w:pPr>
    </w:p>
    <w:p w:rsidR="009D5D54" w:rsidRDefault="009D5D54" w:rsidP="009D5D54">
      <w:pPr>
        <w:spacing w:line="360" w:lineRule="auto"/>
        <w:jc w:val="both"/>
        <w:rPr>
          <w:rFonts w:ascii="Palatino Linotype" w:eastAsia="Times New Roman" w:hAnsi="Palatino Linotype"/>
          <w:b/>
          <w:sz w:val="22"/>
          <w:szCs w:val="22"/>
          <w:u w:val="single"/>
          <w:lang w:val="en-US"/>
        </w:rPr>
      </w:pPr>
    </w:p>
    <w:p w:rsidR="009D5D54" w:rsidRPr="006D42D9" w:rsidRDefault="009D5D54" w:rsidP="009D5D54">
      <w:pPr>
        <w:spacing w:line="360" w:lineRule="auto"/>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Fund Mobilisation by Issuance of Equity and Bonds (Table A2)</w:t>
      </w:r>
      <w:r w:rsidRPr="006D42D9">
        <w:rPr>
          <w:rFonts w:ascii="Palatino Linotype" w:eastAsia="Times New Roman" w:hAnsi="Palatino Linotype"/>
          <w:b/>
          <w:sz w:val="22"/>
          <w:szCs w:val="22"/>
          <w:lang w:val="en-US"/>
        </w:rPr>
        <w:t xml:space="preserve"> – </w:t>
      </w:r>
    </w:p>
    <w:p w:rsidR="009D5D54" w:rsidRPr="00346353"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346353">
        <w:rPr>
          <w:rFonts w:ascii="Palatino Linotype" w:eastAsia="Times New Roman" w:hAnsi="Palatino Linotype"/>
          <w:bCs/>
          <w:sz w:val="22"/>
          <w:szCs w:val="22"/>
          <w:lang w:val="en-US" w:eastAsia="en-GB"/>
        </w:rPr>
        <w:t xml:space="preserve">There was 33.7 per cent </w:t>
      </w:r>
      <w:r w:rsidR="000B5243">
        <w:rPr>
          <w:rFonts w:ascii="Palatino Linotype" w:eastAsia="Times New Roman" w:hAnsi="Palatino Linotype"/>
          <w:bCs/>
          <w:sz w:val="22"/>
          <w:szCs w:val="22"/>
          <w:lang w:val="en-US" w:eastAsia="en-GB"/>
        </w:rPr>
        <w:t>fall</w:t>
      </w:r>
      <w:r w:rsidR="000B5243" w:rsidRPr="00346353">
        <w:rPr>
          <w:rFonts w:ascii="Palatino Linotype" w:eastAsia="Times New Roman" w:hAnsi="Palatino Linotype"/>
          <w:bCs/>
          <w:sz w:val="22"/>
          <w:szCs w:val="22"/>
          <w:lang w:val="en-US" w:eastAsia="en-GB"/>
        </w:rPr>
        <w:t xml:space="preserve"> </w:t>
      </w:r>
      <w:r w:rsidRPr="00346353">
        <w:rPr>
          <w:rFonts w:ascii="Palatino Linotype" w:eastAsia="Times New Roman" w:hAnsi="Palatino Linotype"/>
          <w:bCs/>
          <w:sz w:val="22"/>
          <w:szCs w:val="22"/>
          <w:lang w:val="en-US" w:eastAsia="en-GB"/>
        </w:rPr>
        <w:t xml:space="preserve">in the fund mobilization at the selected analyzed exchanges world-wide during </w:t>
      </w:r>
      <w:r>
        <w:rPr>
          <w:rFonts w:ascii="Palatino Linotype" w:eastAsia="Times New Roman" w:hAnsi="Palatino Linotype"/>
          <w:bCs/>
          <w:sz w:val="22"/>
          <w:szCs w:val="22"/>
          <w:lang w:val="en-US" w:eastAsia="en-GB"/>
        </w:rPr>
        <w:t>June</w:t>
      </w:r>
      <w:r w:rsidRPr="00346353">
        <w:rPr>
          <w:rFonts w:ascii="Palatino Linotype" w:eastAsia="Times New Roman" w:hAnsi="Palatino Linotype"/>
          <w:bCs/>
          <w:sz w:val="22"/>
          <w:szCs w:val="22"/>
          <w:lang w:val="en-US" w:eastAsia="en-GB"/>
        </w:rPr>
        <w:t xml:space="preserve"> 2021 (at 459,516 million USD) against previous month (at 343,806 million USD). Only 11.9 per cent of the total fund mobilization in </w:t>
      </w:r>
      <w:r>
        <w:rPr>
          <w:rFonts w:ascii="Palatino Linotype" w:eastAsia="Times New Roman" w:hAnsi="Palatino Linotype"/>
          <w:bCs/>
          <w:color w:val="000000"/>
          <w:sz w:val="22"/>
          <w:szCs w:val="22"/>
          <w:lang w:val="en-US" w:eastAsia="en-GB"/>
        </w:rPr>
        <w:t>June</w:t>
      </w:r>
      <w:r w:rsidRPr="00346353">
        <w:rPr>
          <w:rFonts w:ascii="Palatino Linotype" w:eastAsia="Times New Roman" w:hAnsi="Palatino Linotype"/>
          <w:bCs/>
          <w:color w:val="000000"/>
          <w:sz w:val="22"/>
          <w:szCs w:val="22"/>
          <w:lang w:val="en-US" w:eastAsia="en-GB"/>
        </w:rPr>
        <w:t xml:space="preserve"> 2021 </w:t>
      </w:r>
      <w:r w:rsidRPr="00346353">
        <w:rPr>
          <w:rFonts w:ascii="Palatino Linotype" w:eastAsia="Times New Roman" w:hAnsi="Palatino Linotype"/>
          <w:bCs/>
          <w:sz w:val="22"/>
          <w:szCs w:val="22"/>
          <w:lang w:val="en-US" w:eastAsia="en-GB"/>
        </w:rPr>
        <w:t>was in equity and remaining was in debt.</w:t>
      </w:r>
    </w:p>
    <w:p w:rsidR="009D5D54" w:rsidRPr="00346353"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346353">
        <w:rPr>
          <w:rFonts w:ascii="Palatino Linotype" w:eastAsia="Times New Roman" w:hAnsi="Palatino Linotype"/>
          <w:bCs/>
          <w:sz w:val="22"/>
          <w:szCs w:val="22"/>
          <w:lang w:val="en-US" w:eastAsia="en-GB"/>
        </w:rPr>
        <w:t>As per the data available on World Federation of Exchanges (WFE)</w:t>
      </w:r>
      <w:r w:rsidRPr="00346353">
        <w:rPr>
          <w:rFonts w:ascii="Palatino Linotype" w:eastAsia="Times New Roman" w:hAnsi="Palatino Linotype"/>
          <w:bCs/>
          <w:sz w:val="22"/>
          <w:szCs w:val="22"/>
          <w:vertAlign w:val="superscript"/>
          <w:lang w:val="en-US" w:eastAsia="en-GB"/>
        </w:rPr>
        <w:footnoteReference w:id="5"/>
      </w:r>
      <w:r w:rsidRPr="00346353">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June</w:t>
      </w:r>
      <w:r w:rsidRPr="00346353">
        <w:rPr>
          <w:rFonts w:ascii="Palatino Linotype" w:eastAsia="Times New Roman" w:hAnsi="Palatino Linotype"/>
          <w:bCs/>
          <w:sz w:val="22"/>
          <w:szCs w:val="22"/>
          <w:lang w:val="en-US" w:eastAsia="en-GB"/>
        </w:rPr>
        <w:t xml:space="preserve"> 2021 was at LSE Group London Stock Exchange (85,378 million USD)</w:t>
      </w:r>
      <w:r>
        <w:rPr>
          <w:rFonts w:ascii="Palatino Linotype" w:eastAsia="Times New Roman" w:hAnsi="Palatino Linotype"/>
          <w:bCs/>
          <w:sz w:val="22"/>
          <w:szCs w:val="22"/>
          <w:lang w:val="en-US" w:eastAsia="en-GB"/>
        </w:rPr>
        <w:t>,</w:t>
      </w:r>
      <w:r w:rsidRPr="00346353">
        <w:rPr>
          <w:rFonts w:ascii="Palatino Linotype" w:eastAsia="Times New Roman" w:hAnsi="Palatino Linotype"/>
          <w:bCs/>
          <w:sz w:val="22"/>
          <w:szCs w:val="22"/>
          <w:lang w:val="en-US" w:eastAsia="en-GB"/>
        </w:rPr>
        <w:t xml:space="preserve"> </w:t>
      </w:r>
      <w:r w:rsidRPr="004416F0">
        <w:rPr>
          <w:rFonts w:ascii="Palatino Linotype" w:eastAsia="Times New Roman" w:hAnsi="Palatino Linotype"/>
          <w:bCs/>
          <w:sz w:val="22"/>
          <w:szCs w:val="22"/>
          <w:lang w:val="en-US" w:eastAsia="en-GB"/>
        </w:rPr>
        <w:t>Shanghai Stock Exchange</w:t>
      </w:r>
      <w:r w:rsidRPr="00346353">
        <w:rPr>
          <w:rFonts w:ascii="Palatino Linotype" w:hAnsi="Palatino Linotype"/>
          <w:sz w:val="22"/>
          <w:szCs w:val="22"/>
        </w:rPr>
        <w:t xml:space="preserve"> </w:t>
      </w:r>
      <w:r w:rsidRPr="00346353">
        <w:rPr>
          <w:rFonts w:ascii="Palatino Linotype" w:eastAsia="Times New Roman" w:hAnsi="Palatino Linotype"/>
          <w:bCs/>
          <w:sz w:val="22"/>
          <w:szCs w:val="22"/>
          <w:lang w:val="en-US" w:eastAsia="en-GB"/>
        </w:rPr>
        <w:t>(78,668 million USD) followed by</w:t>
      </w:r>
      <w:r w:rsidRPr="00346353">
        <w:rPr>
          <w:rFonts w:ascii="Palatino Linotype" w:hAnsi="Palatino Linotype"/>
          <w:sz w:val="22"/>
          <w:szCs w:val="22"/>
        </w:rPr>
        <w:t xml:space="preserve"> </w:t>
      </w:r>
      <w:r>
        <w:rPr>
          <w:rFonts w:ascii="Palatino Linotype" w:eastAsia="Times New Roman" w:hAnsi="Palatino Linotype"/>
          <w:bCs/>
          <w:sz w:val="22"/>
          <w:szCs w:val="22"/>
          <w:lang w:val="en-US" w:eastAsia="en-GB"/>
        </w:rPr>
        <w:t>NSE</w:t>
      </w:r>
      <w:r w:rsidRPr="00346353">
        <w:rPr>
          <w:rFonts w:ascii="Palatino Linotype" w:eastAsia="Times New Roman" w:hAnsi="Palatino Linotype"/>
          <w:bCs/>
          <w:sz w:val="22"/>
          <w:szCs w:val="22"/>
          <w:lang w:val="en-US" w:eastAsia="en-GB"/>
        </w:rPr>
        <w:t xml:space="preserve"> (60,538 million USD). </w:t>
      </w:r>
    </w:p>
    <w:p w:rsidR="009D5D54" w:rsidRPr="00346353"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346353">
        <w:rPr>
          <w:rFonts w:ascii="Palatino Linotype" w:eastAsia="Times New Roman" w:hAnsi="Palatino Linotype"/>
          <w:bCs/>
          <w:sz w:val="22"/>
          <w:szCs w:val="22"/>
          <w:lang w:val="en-US" w:eastAsia="en-GB"/>
        </w:rPr>
        <w:lastRenderedPageBreak/>
        <w:t xml:space="preserve">In </w:t>
      </w:r>
      <w:r>
        <w:rPr>
          <w:rFonts w:ascii="Palatino Linotype" w:eastAsia="Times New Roman" w:hAnsi="Palatino Linotype"/>
          <w:bCs/>
          <w:sz w:val="22"/>
          <w:szCs w:val="22"/>
          <w:lang w:val="en-US" w:eastAsia="en-GB"/>
        </w:rPr>
        <w:t>June</w:t>
      </w:r>
      <w:r w:rsidRPr="00346353">
        <w:rPr>
          <w:rFonts w:ascii="Palatino Linotype" w:eastAsia="Times New Roman" w:hAnsi="Palatino Linotype"/>
          <w:bCs/>
          <w:sz w:val="22"/>
          <w:szCs w:val="22"/>
          <w:lang w:val="en-US" w:eastAsia="en-GB"/>
        </w:rPr>
        <w:t xml:space="preserve"> 2021, at LSE Group London Stock Exchange, only </w:t>
      </w:r>
      <w:r w:rsidRPr="00931906">
        <w:rPr>
          <w:rFonts w:ascii="Palatino Linotype" w:eastAsia="Times New Roman" w:hAnsi="Palatino Linotype"/>
          <w:bCs/>
          <w:sz w:val="22"/>
          <w:szCs w:val="22"/>
          <w:lang w:val="en-US" w:eastAsia="en-GB"/>
        </w:rPr>
        <w:t xml:space="preserve">3,992 </w:t>
      </w:r>
      <w:r w:rsidRPr="00346353">
        <w:rPr>
          <w:rFonts w:ascii="Palatino Linotype" w:eastAsia="Times New Roman" w:hAnsi="Palatino Linotype"/>
          <w:bCs/>
          <w:sz w:val="22"/>
          <w:szCs w:val="22"/>
          <w:lang w:val="en-US" w:eastAsia="en-GB"/>
        </w:rPr>
        <w:t xml:space="preserve">million USD were raised through equity and the remaining amount was raised through bonds whereas fund mobilization through equity was </w:t>
      </w:r>
      <w:r w:rsidRPr="00931906">
        <w:rPr>
          <w:rFonts w:ascii="Palatino Linotype" w:eastAsia="Times New Roman" w:hAnsi="Palatino Linotype"/>
          <w:bCs/>
          <w:sz w:val="22"/>
          <w:szCs w:val="22"/>
          <w:lang w:val="en-US" w:eastAsia="en-GB"/>
        </w:rPr>
        <w:t xml:space="preserve">12,508 </w:t>
      </w:r>
      <w:r w:rsidRPr="00346353">
        <w:rPr>
          <w:rFonts w:ascii="Palatino Linotype" w:eastAsia="Times New Roman" w:hAnsi="Palatino Linotype"/>
          <w:bCs/>
          <w:sz w:val="22"/>
          <w:szCs w:val="22"/>
          <w:lang w:val="en-US" w:eastAsia="en-GB"/>
        </w:rPr>
        <w:t xml:space="preserve">million USD and </w:t>
      </w:r>
      <w:r w:rsidRPr="007B7E83">
        <w:rPr>
          <w:rFonts w:ascii="Palatino Linotype" w:eastAsia="Times New Roman" w:hAnsi="Palatino Linotype"/>
          <w:bCs/>
          <w:sz w:val="22"/>
          <w:szCs w:val="22"/>
          <w:lang w:val="en-US" w:eastAsia="en-GB"/>
        </w:rPr>
        <w:t xml:space="preserve">3,581 </w:t>
      </w:r>
      <w:r w:rsidRPr="00346353">
        <w:rPr>
          <w:rFonts w:ascii="Palatino Linotype" w:eastAsia="Times New Roman" w:hAnsi="Palatino Linotype"/>
          <w:bCs/>
          <w:sz w:val="22"/>
          <w:szCs w:val="22"/>
          <w:lang w:val="en-US" w:eastAsia="en-GB"/>
        </w:rPr>
        <w:t>million USD respectively at Shanghai Stock Exchange</w:t>
      </w:r>
      <w:r w:rsidRPr="00346353">
        <w:rPr>
          <w:rFonts w:ascii="Palatino Linotype" w:hAnsi="Palatino Linotype"/>
          <w:sz w:val="22"/>
          <w:szCs w:val="22"/>
        </w:rPr>
        <w:t xml:space="preserve"> </w:t>
      </w:r>
      <w:r w:rsidRPr="00346353">
        <w:rPr>
          <w:rFonts w:ascii="Palatino Linotype" w:eastAsia="Times New Roman" w:hAnsi="Palatino Linotype"/>
          <w:bCs/>
          <w:sz w:val="22"/>
          <w:szCs w:val="22"/>
          <w:lang w:val="en-US" w:eastAsia="en-GB"/>
        </w:rPr>
        <w:t>and</w:t>
      </w:r>
      <w:r w:rsidRPr="00346353">
        <w:rPr>
          <w:rFonts w:ascii="Palatino Linotype" w:hAnsi="Palatino Linotype"/>
          <w:sz w:val="22"/>
          <w:szCs w:val="22"/>
        </w:rPr>
        <w:t xml:space="preserve"> </w:t>
      </w:r>
      <w:r>
        <w:rPr>
          <w:rFonts w:ascii="Palatino Linotype" w:hAnsi="Palatino Linotype"/>
          <w:sz w:val="22"/>
          <w:szCs w:val="22"/>
        </w:rPr>
        <w:t>NSE</w:t>
      </w:r>
      <w:r w:rsidRPr="00346353">
        <w:rPr>
          <w:rFonts w:ascii="Palatino Linotype" w:hAnsi="Palatino Linotype"/>
          <w:sz w:val="22"/>
          <w:szCs w:val="22"/>
        </w:rPr>
        <w:t>.</w:t>
      </w:r>
    </w:p>
    <w:p w:rsidR="009D5D54" w:rsidRPr="00346353"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346353">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June</w:t>
      </w:r>
      <w:r w:rsidRPr="00346353">
        <w:rPr>
          <w:rFonts w:ascii="Palatino Linotype" w:eastAsia="Times New Roman" w:hAnsi="Palatino Linotype"/>
          <w:bCs/>
          <w:sz w:val="22"/>
          <w:szCs w:val="22"/>
          <w:lang w:val="en-US" w:eastAsia="en-GB"/>
        </w:rPr>
        <w:t xml:space="preserve"> 2021 was at Shanghai Stock Exchange (</w:t>
      </w:r>
      <w:r w:rsidRPr="00D7202C">
        <w:rPr>
          <w:rFonts w:ascii="Palatino Linotype" w:eastAsia="Times New Roman" w:hAnsi="Palatino Linotype"/>
          <w:bCs/>
          <w:sz w:val="22"/>
          <w:szCs w:val="22"/>
          <w:lang w:val="en-US" w:eastAsia="en-GB"/>
        </w:rPr>
        <w:t xml:space="preserve">12,508 </w:t>
      </w:r>
      <w:r w:rsidRPr="00346353">
        <w:rPr>
          <w:rFonts w:ascii="Palatino Linotype" w:eastAsia="Times New Roman" w:hAnsi="Palatino Linotype"/>
          <w:bCs/>
          <w:sz w:val="22"/>
          <w:szCs w:val="22"/>
          <w:lang w:val="en-US" w:eastAsia="en-GB"/>
        </w:rPr>
        <w:t>million USD) followed by</w:t>
      </w:r>
      <w:r w:rsidRPr="00346353">
        <w:t xml:space="preserve"> </w:t>
      </w:r>
      <w:r w:rsidRPr="00346353">
        <w:rPr>
          <w:rFonts w:ascii="Palatino Linotype" w:eastAsia="Times New Roman" w:hAnsi="Palatino Linotype"/>
          <w:bCs/>
          <w:sz w:val="22"/>
          <w:szCs w:val="22"/>
          <w:lang w:val="en-US" w:eastAsia="en-GB"/>
        </w:rPr>
        <w:t>Hong Kong Exchanges and Clearing (</w:t>
      </w:r>
      <w:r w:rsidRPr="00D7202C">
        <w:rPr>
          <w:rFonts w:ascii="Palatino Linotype" w:eastAsia="Times New Roman" w:hAnsi="Palatino Linotype"/>
          <w:bCs/>
          <w:sz w:val="22"/>
          <w:szCs w:val="22"/>
          <w:lang w:val="en-US" w:eastAsia="en-GB"/>
        </w:rPr>
        <w:t xml:space="preserve">8,431 </w:t>
      </w:r>
      <w:r w:rsidRPr="00346353">
        <w:rPr>
          <w:rFonts w:ascii="Palatino Linotype" w:eastAsia="Times New Roman" w:hAnsi="Palatino Linotype"/>
          <w:bCs/>
          <w:sz w:val="22"/>
          <w:szCs w:val="22"/>
          <w:lang w:val="en-US" w:eastAsia="en-GB"/>
        </w:rPr>
        <w:t xml:space="preserve">million USD).   </w:t>
      </w:r>
    </w:p>
    <w:p w:rsidR="009D5D54" w:rsidRPr="006D42D9" w:rsidRDefault="009D5D54" w:rsidP="009D5D54">
      <w:pPr>
        <w:spacing w:line="276" w:lineRule="auto"/>
        <w:jc w:val="both"/>
        <w:rPr>
          <w:rFonts w:ascii="Palatino Linotype" w:eastAsia="Times New Roman" w:hAnsi="Palatino Linotype"/>
          <w:bCs/>
          <w:sz w:val="22"/>
          <w:szCs w:val="22"/>
          <w:lang w:val="en-US"/>
        </w:rPr>
      </w:pPr>
    </w:p>
    <w:p w:rsidR="009D5D54" w:rsidRPr="006D42D9" w:rsidRDefault="009D5D54" w:rsidP="009D5D54">
      <w:pPr>
        <w:spacing w:line="276" w:lineRule="auto"/>
        <w:ind w:left="284"/>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Market Capitalisation of Major</w:t>
      </w:r>
      <w:r w:rsidRPr="00BC0641">
        <w:rPr>
          <w:rFonts w:ascii="Palatino Linotype" w:eastAsia="Times New Roman" w:hAnsi="Palatino Linotype"/>
          <w:b/>
          <w:sz w:val="22"/>
          <w:szCs w:val="22"/>
          <w:u w:val="single"/>
          <w:lang w:val="en-US"/>
        </w:rPr>
        <w:t xml:space="preserve"> Exchanges </w:t>
      </w:r>
      <w:r w:rsidRPr="006D42D9">
        <w:rPr>
          <w:rFonts w:ascii="Palatino Linotype" w:eastAsia="Times New Roman" w:hAnsi="Palatino Linotype"/>
          <w:b/>
          <w:sz w:val="22"/>
          <w:szCs w:val="22"/>
          <w:lang w:val="en-US"/>
        </w:rPr>
        <w:t>(Table A3) –</w:t>
      </w:r>
    </w:p>
    <w:p w:rsidR="009D5D54" w:rsidRPr="001A64FF" w:rsidRDefault="009D5D54" w:rsidP="009D5D54">
      <w:pPr>
        <w:spacing w:line="276" w:lineRule="auto"/>
        <w:ind w:left="360"/>
        <w:contextualSpacing/>
        <w:jc w:val="both"/>
        <w:rPr>
          <w:rFonts w:ascii="Palatino Linotype" w:eastAsia="Times New Roman" w:hAnsi="Palatino Linotype"/>
          <w:b/>
          <w:sz w:val="22"/>
          <w:szCs w:val="22"/>
          <w:lang w:val="en-US" w:eastAsia="en-GB"/>
        </w:rPr>
      </w:pPr>
    </w:p>
    <w:p w:rsidR="009D5D54" w:rsidRPr="001A64FF" w:rsidRDefault="009D5D54" w:rsidP="009D5D54">
      <w:pPr>
        <w:numPr>
          <w:ilvl w:val="0"/>
          <w:numId w:val="8"/>
        </w:numPr>
        <w:spacing w:line="276" w:lineRule="auto"/>
        <w:ind w:left="357" w:hanging="357"/>
        <w:jc w:val="both"/>
        <w:rPr>
          <w:rFonts w:ascii="Palatino Linotype" w:eastAsia="Times New Roman" w:hAnsi="Palatino Linotype"/>
          <w:bCs/>
          <w:sz w:val="22"/>
          <w:szCs w:val="22"/>
          <w:lang w:val="en-US" w:eastAsia="en-GB"/>
        </w:rPr>
      </w:pPr>
      <w:r w:rsidRPr="001A64FF">
        <w:rPr>
          <w:rFonts w:ascii="Palatino Linotype" w:eastAsia="Times New Roman" w:hAnsi="Palatino Linotype"/>
          <w:bCs/>
          <w:sz w:val="22"/>
          <w:szCs w:val="22"/>
          <w:lang w:val="en-US" w:eastAsia="en-GB"/>
        </w:rPr>
        <w:t>Most of the analysed exchanges of selected markets</w:t>
      </w:r>
      <w:r w:rsidRPr="001A64FF">
        <w:rPr>
          <w:rFonts w:ascii="Palatino Linotype" w:eastAsia="Times New Roman" w:hAnsi="Palatino Linotype"/>
          <w:bCs/>
          <w:sz w:val="22"/>
          <w:szCs w:val="22"/>
          <w:vertAlign w:val="superscript"/>
          <w:lang w:val="en-US" w:eastAsia="en-GB"/>
        </w:rPr>
        <w:footnoteReference w:id="6"/>
      </w:r>
      <w:r w:rsidRPr="001A64FF">
        <w:rPr>
          <w:rFonts w:ascii="Palatino Linotype" w:eastAsia="Times New Roman" w:hAnsi="Palatino Linotype"/>
          <w:bCs/>
          <w:sz w:val="22"/>
          <w:szCs w:val="22"/>
          <w:lang w:val="en-US" w:eastAsia="en-GB"/>
        </w:rPr>
        <w:t xml:space="preserve">, reflected a </w:t>
      </w:r>
      <w:r w:rsidR="000B5243">
        <w:rPr>
          <w:rFonts w:ascii="Palatino Linotype" w:eastAsia="Times New Roman" w:hAnsi="Palatino Linotype"/>
          <w:bCs/>
          <w:sz w:val="22"/>
          <w:szCs w:val="22"/>
          <w:lang w:val="en-US" w:eastAsia="en-GB"/>
        </w:rPr>
        <w:t>fall</w:t>
      </w:r>
      <w:r w:rsidR="000B5243" w:rsidRPr="001A64FF">
        <w:rPr>
          <w:rFonts w:ascii="Palatino Linotype" w:eastAsia="Times New Roman" w:hAnsi="Palatino Linotype"/>
          <w:bCs/>
          <w:sz w:val="22"/>
          <w:szCs w:val="22"/>
          <w:lang w:val="en-US" w:eastAsia="en-GB"/>
        </w:rPr>
        <w:t xml:space="preserve"> </w:t>
      </w:r>
      <w:r w:rsidRPr="001A64FF">
        <w:rPr>
          <w:rFonts w:ascii="Palatino Linotype" w:eastAsia="Times New Roman" w:hAnsi="Palatino Linotype"/>
          <w:bCs/>
          <w:sz w:val="22"/>
          <w:szCs w:val="22"/>
          <w:lang w:val="en-US" w:eastAsia="en-GB"/>
        </w:rPr>
        <w:t xml:space="preserve">in market capitalization in the month of </w:t>
      </w:r>
      <w:r>
        <w:rPr>
          <w:rFonts w:ascii="Palatino Linotype" w:eastAsia="Times New Roman" w:hAnsi="Palatino Linotype"/>
          <w:bCs/>
          <w:sz w:val="22"/>
          <w:szCs w:val="22"/>
          <w:lang w:val="en-US" w:eastAsia="en-GB"/>
        </w:rPr>
        <w:t>June</w:t>
      </w:r>
      <w:r w:rsidRPr="001A64FF">
        <w:rPr>
          <w:rFonts w:ascii="Palatino Linotype" w:eastAsia="Times New Roman" w:hAnsi="Palatino Linotype"/>
          <w:bCs/>
          <w:sz w:val="22"/>
          <w:szCs w:val="22"/>
          <w:lang w:val="en-US" w:eastAsia="en-GB"/>
        </w:rPr>
        <w:t xml:space="preserve"> 2021 compared to previous month.</w:t>
      </w:r>
    </w:p>
    <w:p w:rsidR="009D5D54" w:rsidRPr="007554B6" w:rsidRDefault="009D5D54" w:rsidP="009D5D54">
      <w:pPr>
        <w:numPr>
          <w:ilvl w:val="0"/>
          <w:numId w:val="8"/>
        </w:numPr>
        <w:spacing w:line="276" w:lineRule="auto"/>
        <w:contextualSpacing/>
        <w:jc w:val="both"/>
        <w:rPr>
          <w:rFonts w:ascii="Palatino Linotype" w:eastAsia="Times New Roman" w:hAnsi="Palatino Linotype"/>
          <w:b/>
          <w:sz w:val="22"/>
          <w:szCs w:val="22"/>
          <w:u w:val="single"/>
          <w:lang w:val="en-US"/>
        </w:rPr>
      </w:pPr>
      <w:r w:rsidRPr="001A64FF">
        <w:rPr>
          <w:rFonts w:ascii="Palatino Linotype" w:eastAsia="Times New Roman" w:hAnsi="Palatino Linotype"/>
          <w:bCs/>
          <w:sz w:val="22"/>
          <w:szCs w:val="22"/>
          <w:lang w:val="en-US" w:eastAsia="en-GB"/>
        </w:rPr>
        <w:t xml:space="preserve">Among the exchanges which registered highest </w:t>
      </w:r>
      <w:r w:rsidR="000B5243">
        <w:rPr>
          <w:rFonts w:ascii="Palatino Linotype" w:eastAsia="Times New Roman" w:hAnsi="Palatino Linotype"/>
          <w:bCs/>
          <w:sz w:val="22"/>
          <w:szCs w:val="22"/>
          <w:lang w:val="en-US" w:eastAsia="en-GB"/>
        </w:rPr>
        <w:t>ri</w:t>
      </w:r>
      <w:r w:rsidR="000B5243" w:rsidRPr="001A64FF">
        <w:rPr>
          <w:rFonts w:ascii="Palatino Linotype" w:eastAsia="Times New Roman" w:hAnsi="Palatino Linotype"/>
          <w:bCs/>
          <w:sz w:val="22"/>
          <w:szCs w:val="22"/>
          <w:lang w:val="en-US" w:eastAsia="en-GB"/>
        </w:rPr>
        <w:t xml:space="preserve">se </w:t>
      </w:r>
      <w:r w:rsidRPr="001A64FF">
        <w:rPr>
          <w:rFonts w:ascii="Palatino Linotype" w:eastAsia="Times New Roman" w:hAnsi="Palatino Linotype"/>
          <w:bCs/>
          <w:sz w:val="22"/>
          <w:szCs w:val="22"/>
          <w:lang w:val="en-US" w:eastAsia="en-GB"/>
        </w:rPr>
        <w:t xml:space="preserve">in market capitalization were </w:t>
      </w:r>
      <w:r w:rsidRPr="00DB5D93">
        <w:rPr>
          <w:rFonts w:ascii="Palatino Linotype" w:eastAsia="Times New Roman" w:hAnsi="Palatino Linotype"/>
          <w:bCs/>
          <w:sz w:val="22"/>
          <w:szCs w:val="22"/>
          <w:lang w:val="en-US" w:eastAsia="en-GB"/>
        </w:rPr>
        <w:t>Nasdaq - US</w:t>
      </w:r>
      <w:r w:rsidRPr="001A64FF">
        <w:rPr>
          <w:rFonts w:ascii="Palatino Linotype" w:eastAsia="Times New Roman" w:hAnsi="Palatino Linotype"/>
          <w:bCs/>
          <w:sz w:val="22"/>
          <w:szCs w:val="22"/>
          <w:lang w:val="en-US" w:eastAsia="en-GB"/>
        </w:rPr>
        <w:t xml:space="preserve">, </w:t>
      </w:r>
      <w:r w:rsidRPr="00DB5D93">
        <w:rPr>
          <w:rFonts w:ascii="Palatino Linotype" w:eastAsia="Times New Roman" w:hAnsi="Palatino Linotype"/>
          <w:bCs/>
          <w:sz w:val="22"/>
          <w:szCs w:val="22"/>
          <w:lang w:val="en-US" w:eastAsia="en-GB"/>
        </w:rPr>
        <w:t>B3 - Brasil Bolsa Balcão</w:t>
      </w:r>
      <w:r w:rsidRPr="001A64FF">
        <w:rPr>
          <w:rFonts w:ascii="Palatino Linotype" w:eastAsia="Times New Roman" w:hAnsi="Palatino Linotype"/>
          <w:bCs/>
          <w:sz w:val="22"/>
          <w:szCs w:val="22"/>
          <w:lang w:val="en-US" w:eastAsia="en-GB"/>
        </w:rPr>
        <w:t xml:space="preserve">, and </w:t>
      </w:r>
      <w:r w:rsidRPr="00DB5D93">
        <w:rPr>
          <w:rFonts w:ascii="Palatino Linotype" w:eastAsia="Times New Roman" w:hAnsi="Palatino Linotype"/>
          <w:bCs/>
          <w:sz w:val="22"/>
          <w:szCs w:val="22"/>
          <w:lang w:val="en-US" w:eastAsia="en-GB"/>
        </w:rPr>
        <w:t>Moscow Exchange</w:t>
      </w:r>
      <w:r w:rsidRPr="001A64FF">
        <w:rPr>
          <w:rFonts w:ascii="Palatino Linotype" w:eastAsia="Times New Roman" w:hAnsi="Palatino Linotype"/>
          <w:bCs/>
          <w:sz w:val="22"/>
          <w:szCs w:val="22"/>
          <w:lang w:val="en-US" w:eastAsia="en-GB"/>
        </w:rPr>
        <w:t xml:space="preserve"> (</w:t>
      </w:r>
      <w:r w:rsidRPr="00DB5D93">
        <w:rPr>
          <w:rFonts w:ascii="Palatino Linotype" w:eastAsia="Times New Roman" w:hAnsi="Palatino Linotype"/>
          <w:bCs/>
          <w:sz w:val="22"/>
          <w:szCs w:val="22"/>
          <w:lang w:val="en-US" w:eastAsia="en-GB"/>
        </w:rPr>
        <w:t>5.9</w:t>
      </w:r>
      <w:r w:rsidRPr="001A64FF">
        <w:rPr>
          <w:rFonts w:ascii="Palatino Linotype" w:eastAsia="Times New Roman" w:hAnsi="Palatino Linotype"/>
          <w:bCs/>
          <w:sz w:val="22"/>
          <w:szCs w:val="22"/>
          <w:lang w:val="en-US" w:eastAsia="en-GB"/>
        </w:rPr>
        <w:t xml:space="preserve">, </w:t>
      </w:r>
      <w:r w:rsidRPr="00DB5D93">
        <w:rPr>
          <w:rFonts w:ascii="Palatino Linotype" w:eastAsia="Times New Roman" w:hAnsi="Palatino Linotype"/>
          <w:bCs/>
          <w:sz w:val="22"/>
          <w:szCs w:val="22"/>
          <w:lang w:val="en-US" w:eastAsia="en-GB"/>
        </w:rPr>
        <w:t>5.3</w:t>
      </w:r>
      <w:r w:rsidRPr="001A64FF">
        <w:rPr>
          <w:rFonts w:ascii="Palatino Linotype" w:eastAsia="Times New Roman" w:hAnsi="Palatino Linotype"/>
          <w:bCs/>
          <w:sz w:val="22"/>
          <w:szCs w:val="22"/>
          <w:lang w:val="en-US" w:eastAsia="en-GB"/>
        </w:rPr>
        <w:t xml:space="preserve"> and </w:t>
      </w:r>
      <w:r w:rsidRPr="00DB5D93">
        <w:rPr>
          <w:rFonts w:ascii="Palatino Linotype" w:eastAsia="Times New Roman" w:hAnsi="Palatino Linotype"/>
          <w:bCs/>
          <w:sz w:val="22"/>
          <w:szCs w:val="22"/>
          <w:lang w:val="en-US" w:eastAsia="en-GB"/>
        </w:rPr>
        <w:t>1.9</w:t>
      </w:r>
      <w:r w:rsidRPr="001A64FF">
        <w:rPr>
          <w:rFonts w:ascii="Palatino Linotype" w:eastAsia="Times New Roman" w:hAnsi="Palatino Linotype"/>
          <w:bCs/>
          <w:sz w:val="22"/>
          <w:szCs w:val="22"/>
          <w:lang w:val="en-US" w:eastAsia="en-GB"/>
        </w:rPr>
        <w:t xml:space="preserve"> per cent respectively). Among the analysed exchanges, decline in market capitalization was observed for </w:t>
      </w:r>
      <w:r w:rsidRPr="00DB5D93">
        <w:rPr>
          <w:rFonts w:ascii="Palatino Linotype" w:eastAsia="Times New Roman" w:hAnsi="Palatino Linotype"/>
          <w:bCs/>
          <w:sz w:val="22"/>
          <w:szCs w:val="22"/>
          <w:lang w:val="en-US" w:eastAsia="en-GB"/>
        </w:rPr>
        <w:t>BME Spanish Exchanges</w:t>
      </w:r>
      <w:r w:rsidRPr="001A64FF">
        <w:rPr>
          <w:rFonts w:ascii="Palatino Linotype" w:eastAsia="Times New Roman" w:hAnsi="Palatino Linotype"/>
          <w:bCs/>
          <w:sz w:val="22"/>
          <w:szCs w:val="22"/>
          <w:lang w:val="en-US" w:eastAsia="en-GB"/>
        </w:rPr>
        <w:t xml:space="preserve"> and</w:t>
      </w:r>
      <w:r w:rsidRPr="001A64FF">
        <w:t xml:space="preserve"> </w:t>
      </w:r>
      <w:r w:rsidRPr="00DB5D93">
        <w:rPr>
          <w:rFonts w:ascii="Palatino Linotype" w:eastAsia="Times New Roman" w:hAnsi="Palatino Linotype"/>
          <w:bCs/>
          <w:sz w:val="22"/>
          <w:szCs w:val="22"/>
          <w:lang w:val="en-US" w:eastAsia="en-GB"/>
        </w:rPr>
        <w:t>Johannesburg Stock Exchange</w:t>
      </w:r>
      <w:r w:rsidRPr="001A64FF">
        <w:rPr>
          <w:rFonts w:ascii="Palatino Linotype" w:eastAsia="Times New Roman" w:hAnsi="Palatino Linotype"/>
          <w:bCs/>
          <w:sz w:val="22"/>
          <w:szCs w:val="22"/>
          <w:lang w:val="en-US" w:eastAsia="en-GB"/>
        </w:rPr>
        <w:t xml:space="preserve"> (</w:t>
      </w:r>
      <w:r w:rsidRPr="00DB5D93">
        <w:rPr>
          <w:rFonts w:ascii="Palatino Linotype" w:eastAsia="Times New Roman" w:hAnsi="Palatino Linotype"/>
          <w:bCs/>
          <w:sz w:val="22"/>
          <w:szCs w:val="22"/>
          <w:lang w:val="en-US" w:eastAsia="en-GB"/>
        </w:rPr>
        <w:t>5.7</w:t>
      </w:r>
      <w:r>
        <w:rPr>
          <w:rFonts w:ascii="Palatino Linotype" w:eastAsia="Times New Roman" w:hAnsi="Palatino Linotype"/>
          <w:bCs/>
          <w:sz w:val="22"/>
          <w:szCs w:val="22"/>
          <w:lang w:val="en-US" w:eastAsia="en-GB"/>
        </w:rPr>
        <w:t xml:space="preserve"> and </w:t>
      </w:r>
      <w:r w:rsidRPr="00DB5D93">
        <w:rPr>
          <w:rFonts w:ascii="Palatino Linotype" w:eastAsia="Times New Roman" w:hAnsi="Palatino Linotype"/>
          <w:bCs/>
          <w:sz w:val="22"/>
          <w:szCs w:val="22"/>
          <w:lang w:val="en-US" w:eastAsia="en-GB"/>
        </w:rPr>
        <w:t>5.6</w:t>
      </w:r>
      <w:r w:rsidRPr="001A64FF">
        <w:rPr>
          <w:rFonts w:ascii="Palatino Linotype" w:eastAsia="Times New Roman" w:hAnsi="Palatino Linotype"/>
          <w:bCs/>
          <w:sz w:val="22"/>
          <w:szCs w:val="22"/>
          <w:lang w:val="en-US" w:eastAsia="en-GB"/>
        </w:rPr>
        <w:t xml:space="preserve"> per cent each).  </w:t>
      </w:r>
    </w:p>
    <w:p w:rsidR="009D5D54" w:rsidRPr="007554B6" w:rsidRDefault="009D5D54" w:rsidP="009D5D54">
      <w:pPr>
        <w:spacing w:line="276" w:lineRule="auto"/>
        <w:ind w:left="360"/>
        <w:contextualSpacing/>
        <w:jc w:val="both"/>
        <w:rPr>
          <w:rFonts w:ascii="Palatino Linotype" w:eastAsia="Times New Roman" w:hAnsi="Palatino Linotype"/>
          <w:b/>
          <w:sz w:val="22"/>
          <w:szCs w:val="22"/>
          <w:u w:val="single"/>
          <w:lang w:val="en-US"/>
        </w:rPr>
      </w:pPr>
    </w:p>
    <w:p w:rsidR="009D5D54" w:rsidRPr="007554B6" w:rsidRDefault="009D5D54" w:rsidP="009D5D54">
      <w:pPr>
        <w:spacing w:line="276" w:lineRule="auto"/>
        <w:ind w:left="360"/>
        <w:contextualSpacing/>
        <w:jc w:val="both"/>
        <w:rPr>
          <w:rFonts w:ascii="Palatino Linotype" w:eastAsia="Times New Roman" w:hAnsi="Palatino Linotype"/>
          <w:b/>
          <w:sz w:val="22"/>
          <w:szCs w:val="22"/>
          <w:u w:val="single"/>
          <w:lang w:val="en-US"/>
        </w:rPr>
      </w:pPr>
    </w:p>
    <w:p w:rsidR="009D5D54" w:rsidRPr="00497662" w:rsidRDefault="009D5D54" w:rsidP="009D5D54">
      <w:pPr>
        <w:spacing w:line="276" w:lineRule="auto"/>
        <w:ind w:left="360"/>
        <w:contextualSpacing/>
        <w:jc w:val="both"/>
        <w:rPr>
          <w:rFonts w:ascii="Palatino Linotype" w:eastAsia="Times New Roman" w:hAnsi="Palatino Linotype"/>
          <w:b/>
          <w:sz w:val="22"/>
          <w:szCs w:val="22"/>
          <w:lang w:val="en-US" w:eastAsia="en-GB"/>
        </w:rPr>
      </w:pPr>
      <w:r w:rsidRPr="00497662">
        <w:rPr>
          <w:rFonts w:ascii="Palatino Linotype" w:eastAsia="Times New Roman" w:hAnsi="Palatino Linotype"/>
          <w:b/>
          <w:sz w:val="22"/>
          <w:szCs w:val="22"/>
          <w:u w:val="single"/>
          <w:lang w:val="en-US"/>
        </w:rPr>
        <w:t xml:space="preserve">Derivatives </w:t>
      </w:r>
      <w:r w:rsidRPr="00497662">
        <w:rPr>
          <w:rFonts w:ascii="Palatino Linotype" w:eastAsia="Times New Roman" w:hAnsi="Palatino Linotype"/>
          <w:b/>
          <w:sz w:val="22"/>
          <w:szCs w:val="22"/>
          <w:lang w:val="en-US" w:eastAsia="en-GB"/>
        </w:rPr>
        <w:t xml:space="preserve">(Figures 5-6, Table A4–A8) – </w:t>
      </w:r>
    </w:p>
    <w:p w:rsidR="009D5D54" w:rsidRPr="008C03CF" w:rsidRDefault="009D5D54" w:rsidP="009D5D54">
      <w:pPr>
        <w:spacing w:line="276" w:lineRule="auto"/>
        <w:ind w:left="360"/>
        <w:contextualSpacing/>
        <w:jc w:val="both"/>
        <w:rPr>
          <w:rFonts w:ascii="Palatino Linotype" w:eastAsia="Times New Roman" w:hAnsi="Palatino Linotype"/>
          <w:b/>
          <w:sz w:val="22"/>
          <w:szCs w:val="22"/>
          <w:lang w:val="en-US" w:eastAsia="en-GB"/>
        </w:rPr>
      </w:pPr>
    </w:p>
    <w:p w:rsidR="009D5D54" w:rsidRPr="008C03CF"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8C03CF">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Jun</w:t>
      </w:r>
      <w:r w:rsidR="006D0CFF">
        <w:rPr>
          <w:rFonts w:ascii="Palatino Linotype" w:eastAsia="Times New Roman" w:hAnsi="Palatino Linotype"/>
          <w:bCs/>
          <w:sz w:val="22"/>
          <w:szCs w:val="22"/>
          <w:lang w:val="en-US" w:eastAsia="en-GB"/>
        </w:rPr>
        <w:t>e</w:t>
      </w:r>
      <w:r w:rsidRPr="008C03CF">
        <w:rPr>
          <w:rFonts w:ascii="Palatino Linotype" w:eastAsia="Times New Roman" w:hAnsi="Palatino Linotype"/>
          <w:bCs/>
          <w:sz w:val="22"/>
          <w:szCs w:val="22"/>
          <w:lang w:val="en-US" w:eastAsia="en-GB"/>
        </w:rPr>
        <w:t xml:space="preserve"> 2021, the highest number of single stock futures contracts traded was at </w:t>
      </w:r>
      <w:r w:rsidRPr="009746F5">
        <w:rPr>
          <w:rFonts w:ascii="Palatino Linotype" w:eastAsia="Times New Roman" w:hAnsi="Palatino Linotype"/>
          <w:bCs/>
          <w:sz w:val="22"/>
          <w:szCs w:val="22"/>
          <w:lang w:val="en-US" w:eastAsia="en-GB"/>
        </w:rPr>
        <w:t>Borsa Istanbul</w:t>
      </w:r>
      <w:r w:rsidRPr="008C03CF">
        <w:t xml:space="preserve"> </w:t>
      </w:r>
      <w:r w:rsidRPr="008C03CF">
        <w:rPr>
          <w:rFonts w:ascii="Palatino Linotype" w:eastAsia="Times New Roman" w:hAnsi="Palatino Linotype"/>
          <w:bCs/>
          <w:sz w:val="22"/>
          <w:szCs w:val="22"/>
          <w:lang w:val="en-US" w:eastAsia="en-GB"/>
        </w:rPr>
        <w:t>(</w:t>
      </w:r>
      <w:r w:rsidRPr="00B27994">
        <w:rPr>
          <w:rFonts w:ascii="Palatino Linotype" w:eastAsia="Times New Roman" w:hAnsi="Palatino Linotype"/>
          <w:bCs/>
          <w:sz w:val="22"/>
          <w:szCs w:val="22"/>
          <w:lang w:val="en-US" w:eastAsia="en-GB"/>
        </w:rPr>
        <w:t>120,608,399)</w:t>
      </w:r>
      <w:r w:rsidRPr="008C03CF">
        <w:rPr>
          <w:rFonts w:ascii="Palatino Linotype" w:eastAsia="Times New Roman" w:hAnsi="Palatino Linotype"/>
          <w:bCs/>
          <w:sz w:val="22"/>
          <w:szCs w:val="22"/>
          <w:lang w:val="en-US" w:eastAsia="en-GB"/>
        </w:rPr>
        <w:t xml:space="preserve"> followed by </w:t>
      </w:r>
      <w:r w:rsidRPr="00E7398A">
        <w:rPr>
          <w:rFonts w:ascii="Palatino Linotype" w:eastAsia="Times New Roman" w:hAnsi="Palatino Linotype"/>
          <w:bCs/>
          <w:sz w:val="22"/>
          <w:szCs w:val="22"/>
          <w:lang w:val="en-US" w:eastAsia="en-GB"/>
        </w:rPr>
        <w:t>Korea Exchange</w:t>
      </w:r>
      <w:r w:rsidRPr="008C03CF">
        <w:rPr>
          <w:rFonts w:ascii="Palatino Linotype" w:eastAsia="Times New Roman" w:hAnsi="Palatino Linotype"/>
          <w:bCs/>
          <w:sz w:val="22"/>
          <w:szCs w:val="22"/>
          <w:lang w:val="en-US" w:eastAsia="en-GB"/>
        </w:rPr>
        <w:t xml:space="preserve"> (</w:t>
      </w:r>
      <w:r w:rsidRPr="00E7398A">
        <w:rPr>
          <w:rFonts w:ascii="Palatino Linotype" w:eastAsia="Times New Roman" w:hAnsi="Palatino Linotype"/>
          <w:bCs/>
          <w:sz w:val="22"/>
          <w:szCs w:val="22"/>
          <w:lang w:val="en-US" w:eastAsia="en-GB"/>
        </w:rPr>
        <w:t>117,882,479)</w:t>
      </w:r>
      <w:r w:rsidRPr="008C03CF">
        <w:rPr>
          <w:rFonts w:ascii="Palatino Linotype" w:eastAsia="Times New Roman" w:hAnsi="Palatino Linotype"/>
          <w:bCs/>
          <w:sz w:val="22"/>
          <w:szCs w:val="22"/>
          <w:lang w:val="en-US" w:eastAsia="en-GB"/>
        </w:rPr>
        <w:t>. The highest number of single stock options were traded at Nasdaq - US (</w:t>
      </w:r>
      <w:r w:rsidRPr="00E7398A">
        <w:rPr>
          <w:rFonts w:ascii="Palatino Linotype" w:eastAsia="Times New Roman" w:hAnsi="Palatino Linotype"/>
          <w:bCs/>
          <w:sz w:val="22"/>
          <w:szCs w:val="22"/>
          <w:lang w:val="en-US" w:eastAsia="en-GB"/>
        </w:rPr>
        <w:t>217,927,133)</w:t>
      </w:r>
      <w:r w:rsidRPr="008C03CF">
        <w:rPr>
          <w:rFonts w:ascii="Palatino Linotype" w:eastAsia="Times New Roman" w:hAnsi="Palatino Linotype"/>
          <w:bCs/>
          <w:sz w:val="22"/>
          <w:szCs w:val="22"/>
          <w:lang w:val="en-US" w:eastAsia="en-GB"/>
        </w:rPr>
        <w:t xml:space="preserve"> followed by </w:t>
      </w:r>
      <w:r w:rsidRPr="00E7398A">
        <w:rPr>
          <w:rFonts w:ascii="Palatino Linotype" w:eastAsia="Times New Roman" w:hAnsi="Palatino Linotype"/>
          <w:bCs/>
          <w:sz w:val="22"/>
          <w:szCs w:val="22"/>
          <w:lang w:val="en-US" w:eastAsia="en-GB"/>
        </w:rPr>
        <w:t>B3 - Brasil Bolsa Balcão</w:t>
      </w:r>
      <w:r w:rsidRPr="008C03CF">
        <w:rPr>
          <w:rFonts w:ascii="Palatino Linotype" w:eastAsia="Times New Roman" w:hAnsi="Palatino Linotype"/>
          <w:bCs/>
          <w:sz w:val="22"/>
          <w:szCs w:val="22"/>
          <w:lang w:val="en-US" w:eastAsia="en-GB"/>
        </w:rPr>
        <w:t xml:space="preserve"> (</w:t>
      </w:r>
      <w:r w:rsidRPr="00E7398A">
        <w:rPr>
          <w:rFonts w:ascii="Palatino Linotype" w:eastAsia="Times New Roman" w:hAnsi="Palatino Linotype"/>
          <w:bCs/>
          <w:sz w:val="22"/>
          <w:szCs w:val="22"/>
          <w:lang w:val="en-US" w:eastAsia="en-GB"/>
        </w:rPr>
        <w:t>165,627,277)</w:t>
      </w:r>
      <w:r w:rsidRPr="008C03CF">
        <w:rPr>
          <w:rFonts w:ascii="Palatino Linotype" w:eastAsia="Times New Roman" w:hAnsi="Palatino Linotype"/>
          <w:bCs/>
          <w:sz w:val="22"/>
          <w:szCs w:val="22"/>
          <w:lang w:val="en-US" w:eastAsia="en-GB"/>
        </w:rPr>
        <w:t>.</w:t>
      </w:r>
    </w:p>
    <w:p w:rsidR="009D5D54" w:rsidRPr="008C03CF"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8C03CF">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Jun</w:t>
      </w:r>
      <w:r w:rsidRPr="008C03CF">
        <w:rPr>
          <w:rFonts w:ascii="Palatino Linotype" w:eastAsia="Times New Roman" w:hAnsi="Palatino Linotype"/>
          <w:bCs/>
          <w:sz w:val="22"/>
          <w:szCs w:val="22"/>
          <w:lang w:val="en-US" w:eastAsia="en-GB"/>
        </w:rPr>
        <w:t xml:space="preserve"> 2021, the highest number of stock index futures contracts traded was </w:t>
      </w:r>
      <w:r w:rsidR="006D0CFF">
        <w:rPr>
          <w:rFonts w:ascii="Palatino Linotype" w:eastAsia="Times New Roman" w:hAnsi="Palatino Linotype"/>
          <w:bCs/>
          <w:sz w:val="22"/>
          <w:szCs w:val="22"/>
          <w:lang w:val="en-US" w:eastAsia="en-GB"/>
        </w:rPr>
        <w:t xml:space="preserve">traded </w:t>
      </w:r>
      <w:r w:rsidRPr="008C03CF">
        <w:rPr>
          <w:rFonts w:ascii="Palatino Linotype" w:eastAsia="Times New Roman" w:hAnsi="Palatino Linotype"/>
          <w:bCs/>
          <w:sz w:val="22"/>
          <w:szCs w:val="22"/>
          <w:lang w:val="en-US" w:eastAsia="en-GB"/>
        </w:rPr>
        <w:t xml:space="preserve">at </w:t>
      </w:r>
      <w:r w:rsidRPr="00BE57B5">
        <w:rPr>
          <w:rFonts w:ascii="Palatino Linotype" w:eastAsia="Times New Roman" w:hAnsi="Palatino Linotype"/>
          <w:bCs/>
          <w:sz w:val="22"/>
          <w:szCs w:val="22"/>
          <w:lang w:val="en-US" w:eastAsia="en-GB"/>
        </w:rPr>
        <w:t>B3 - Brasil Bolsa Balcão</w:t>
      </w:r>
      <w:r w:rsidRPr="008C03CF">
        <w:rPr>
          <w:rFonts w:ascii="Palatino Linotype" w:eastAsia="Times New Roman" w:hAnsi="Palatino Linotype"/>
          <w:bCs/>
          <w:sz w:val="22"/>
          <w:szCs w:val="22"/>
          <w:lang w:val="en-US" w:eastAsia="en-GB"/>
        </w:rPr>
        <w:t xml:space="preserve"> (</w:t>
      </w:r>
      <w:r w:rsidRPr="00BE57B5">
        <w:rPr>
          <w:rFonts w:ascii="Palatino Linotype" w:eastAsia="Times New Roman" w:hAnsi="Palatino Linotype"/>
          <w:bCs/>
          <w:sz w:val="22"/>
          <w:szCs w:val="22"/>
          <w:lang w:val="en-US" w:eastAsia="en-GB"/>
        </w:rPr>
        <w:t>390,971,375)</w:t>
      </w:r>
      <w:r w:rsidRPr="008C03CF">
        <w:rPr>
          <w:rFonts w:ascii="Palatino Linotype" w:eastAsia="Times New Roman" w:hAnsi="Palatino Linotype"/>
          <w:bCs/>
          <w:sz w:val="22"/>
          <w:szCs w:val="22"/>
          <w:lang w:val="en-US" w:eastAsia="en-GB"/>
        </w:rPr>
        <w:t xml:space="preserve"> followed by </w:t>
      </w:r>
      <w:r w:rsidRPr="00BE57B5">
        <w:rPr>
          <w:rFonts w:ascii="Palatino Linotype" w:eastAsia="Times New Roman" w:hAnsi="Palatino Linotype"/>
          <w:bCs/>
          <w:sz w:val="22"/>
          <w:szCs w:val="22"/>
          <w:lang w:val="en-US" w:eastAsia="en-GB"/>
        </w:rPr>
        <w:t>CME Group</w:t>
      </w:r>
      <w:r w:rsidRPr="008C03CF">
        <w:rPr>
          <w:rFonts w:ascii="Palatino Linotype" w:eastAsia="Times New Roman" w:hAnsi="Palatino Linotype"/>
          <w:bCs/>
          <w:sz w:val="22"/>
          <w:szCs w:val="22"/>
          <w:lang w:val="en-US" w:eastAsia="en-GB"/>
        </w:rPr>
        <w:t xml:space="preserve"> (</w:t>
      </w:r>
      <w:r w:rsidRPr="00BE57B5">
        <w:rPr>
          <w:rFonts w:ascii="Palatino Linotype" w:eastAsia="Times New Roman" w:hAnsi="Palatino Linotype"/>
          <w:bCs/>
          <w:sz w:val="22"/>
          <w:szCs w:val="22"/>
          <w:lang w:val="en-US" w:eastAsia="en-GB"/>
        </w:rPr>
        <w:t>87,230,707)</w:t>
      </w:r>
      <w:r w:rsidRPr="008C03CF">
        <w:rPr>
          <w:rFonts w:ascii="Palatino Linotype" w:eastAsia="Times New Roman" w:hAnsi="Palatino Linotype"/>
          <w:bCs/>
          <w:sz w:val="22"/>
          <w:szCs w:val="22"/>
          <w:lang w:val="en-US" w:eastAsia="en-GB"/>
        </w:rPr>
        <w:t>. The highest number of stock index options were traded at NSE (</w:t>
      </w:r>
      <w:r w:rsidRPr="00BE57B5">
        <w:rPr>
          <w:rFonts w:ascii="Palatino Linotype" w:eastAsia="Times New Roman" w:hAnsi="Palatino Linotype"/>
          <w:bCs/>
          <w:sz w:val="22"/>
          <w:szCs w:val="22"/>
          <w:lang w:val="en-US" w:eastAsia="en-GB"/>
        </w:rPr>
        <w:t>964,513,925)</w:t>
      </w:r>
      <w:r>
        <w:rPr>
          <w:rFonts w:ascii="Palatino Linotype" w:eastAsia="Times New Roman" w:hAnsi="Palatino Linotype"/>
          <w:bCs/>
          <w:sz w:val="22"/>
          <w:szCs w:val="22"/>
          <w:lang w:val="en-US" w:eastAsia="en-GB"/>
        </w:rPr>
        <w:t xml:space="preserve"> followed by</w:t>
      </w:r>
      <w:r w:rsidRPr="008C03CF">
        <w:rPr>
          <w:rFonts w:ascii="Palatino Linotype" w:eastAsia="Times New Roman" w:hAnsi="Palatino Linotype"/>
          <w:bCs/>
          <w:sz w:val="22"/>
          <w:szCs w:val="22"/>
          <w:lang w:val="en-US" w:eastAsia="en-GB"/>
        </w:rPr>
        <w:t xml:space="preserve"> Korea Exchange (</w:t>
      </w:r>
      <w:r w:rsidRPr="00BE57B5">
        <w:rPr>
          <w:rFonts w:ascii="Palatino Linotype" w:eastAsia="Times New Roman" w:hAnsi="Palatino Linotype"/>
          <w:bCs/>
          <w:sz w:val="22"/>
          <w:szCs w:val="22"/>
          <w:lang w:val="en-US" w:eastAsia="en-GB"/>
        </w:rPr>
        <w:t>49,441,097)</w:t>
      </w:r>
      <w:r w:rsidRPr="008C03CF">
        <w:rPr>
          <w:rFonts w:ascii="Palatino Linotype" w:eastAsia="Times New Roman" w:hAnsi="Palatino Linotype"/>
          <w:bCs/>
          <w:sz w:val="22"/>
          <w:szCs w:val="22"/>
          <w:lang w:val="en-US" w:eastAsia="en-GB"/>
        </w:rPr>
        <w:t>.</w:t>
      </w:r>
    </w:p>
    <w:p w:rsidR="009D5D54" w:rsidRPr="008C03CF"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8C03CF">
        <w:rPr>
          <w:rFonts w:ascii="Palatino Linotype" w:eastAsia="Times New Roman" w:hAnsi="Palatino Linotype"/>
          <w:bCs/>
          <w:sz w:val="22"/>
          <w:szCs w:val="22"/>
          <w:lang w:val="en-US" w:eastAsia="en-GB"/>
        </w:rPr>
        <w:t xml:space="preserve">Highest number of currency futures contracts were traded at </w:t>
      </w:r>
      <w:r w:rsidRPr="00FD0761">
        <w:rPr>
          <w:rFonts w:ascii="Palatino Linotype" w:eastAsia="Times New Roman" w:hAnsi="Palatino Linotype"/>
          <w:bCs/>
          <w:sz w:val="22"/>
          <w:szCs w:val="22"/>
          <w:lang w:val="en-US" w:eastAsia="en-GB"/>
        </w:rPr>
        <w:t>B3 - Brasil Bolsa Balcão</w:t>
      </w:r>
      <w:r w:rsidRPr="008C03CF">
        <w:rPr>
          <w:rFonts w:ascii="Palatino Linotype" w:eastAsia="Times New Roman" w:hAnsi="Palatino Linotype"/>
          <w:bCs/>
          <w:sz w:val="22"/>
          <w:szCs w:val="22"/>
          <w:lang w:val="en-US" w:eastAsia="en-GB"/>
        </w:rPr>
        <w:t xml:space="preserve"> (</w:t>
      </w:r>
      <w:r w:rsidRPr="00FD0761">
        <w:rPr>
          <w:rFonts w:ascii="Palatino Linotype" w:eastAsia="Times New Roman" w:hAnsi="Palatino Linotype"/>
          <w:bCs/>
          <w:sz w:val="22"/>
          <w:szCs w:val="22"/>
          <w:lang w:val="en-US" w:eastAsia="en-GB"/>
        </w:rPr>
        <w:t>77,607,478)</w:t>
      </w:r>
      <w:r w:rsidRPr="008C03CF">
        <w:rPr>
          <w:rFonts w:ascii="Palatino Linotype" w:eastAsia="Times New Roman" w:hAnsi="Palatino Linotype"/>
          <w:bCs/>
          <w:sz w:val="22"/>
          <w:szCs w:val="22"/>
          <w:lang w:val="en-US" w:eastAsia="en-GB"/>
        </w:rPr>
        <w:t xml:space="preserve"> followed by </w:t>
      </w:r>
      <w:r>
        <w:rPr>
          <w:rFonts w:ascii="Palatino Linotype" w:eastAsia="Times New Roman" w:hAnsi="Palatino Linotype"/>
          <w:bCs/>
          <w:sz w:val="22"/>
          <w:szCs w:val="22"/>
          <w:lang w:val="en-US" w:eastAsia="en-GB"/>
        </w:rPr>
        <w:t>NSE</w:t>
      </w:r>
      <w:r w:rsidRPr="008C03CF">
        <w:rPr>
          <w:rFonts w:ascii="Palatino Linotype" w:eastAsia="Times New Roman" w:hAnsi="Palatino Linotype"/>
          <w:bCs/>
          <w:sz w:val="22"/>
          <w:szCs w:val="22"/>
          <w:lang w:val="en-US" w:eastAsia="en-GB"/>
        </w:rPr>
        <w:t xml:space="preserve"> (</w:t>
      </w:r>
      <w:r w:rsidRPr="00FD0761">
        <w:rPr>
          <w:rFonts w:ascii="Palatino Linotype" w:eastAsia="Times New Roman" w:hAnsi="Palatino Linotype"/>
          <w:bCs/>
          <w:sz w:val="22"/>
          <w:szCs w:val="22"/>
          <w:lang w:val="en-US" w:eastAsia="en-GB"/>
        </w:rPr>
        <w:t>67,110,350)</w:t>
      </w:r>
      <w:r w:rsidRPr="008C03CF">
        <w:rPr>
          <w:rFonts w:ascii="Palatino Linotype" w:eastAsia="Times New Roman" w:hAnsi="Palatino Linotype"/>
          <w:bCs/>
          <w:sz w:val="22"/>
          <w:szCs w:val="22"/>
          <w:lang w:val="en-US" w:eastAsia="en-GB"/>
        </w:rPr>
        <w:t>. The highest number of currency options were traded at NSE (</w:t>
      </w:r>
      <w:r w:rsidRPr="00FD0761">
        <w:rPr>
          <w:rFonts w:ascii="Palatino Linotype" w:eastAsia="Times New Roman" w:hAnsi="Palatino Linotype"/>
          <w:bCs/>
          <w:sz w:val="22"/>
          <w:szCs w:val="22"/>
          <w:lang w:val="en-US" w:eastAsia="en-GB"/>
        </w:rPr>
        <w:t>115,783,764)</w:t>
      </w:r>
      <w:r w:rsidRPr="008C03CF">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followed</w:t>
      </w:r>
      <w:r w:rsidRPr="008C03CF">
        <w:rPr>
          <w:rFonts w:ascii="Palatino Linotype" w:eastAsia="Times New Roman" w:hAnsi="Palatino Linotype"/>
          <w:bCs/>
          <w:sz w:val="22"/>
          <w:szCs w:val="22"/>
          <w:lang w:val="en-US" w:eastAsia="en-GB"/>
        </w:rPr>
        <w:t xml:space="preserve"> by Moscow Exchange (</w:t>
      </w:r>
      <w:r w:rsidRPr="00FD0761">
        <w:rPr>
          <w:rFonts w:ascii="Palatino Linotype" w:eastAsia="Times New Roman" w:hAnsi="Palatino Linotype"/>
          <w:bCs/>
          <w:sz w:val="22"/>
          <w:szCs w:val="22"/>
          <w:lang w:val="en-US" w:eastAsia="en-GB"/>
        </w:rPr>
        <w:t>1,712,967)</w:t>
      </w:r>
      <w:r w:rsidRPr="008C03CF">
        <w:rPr>
          <w:rFonts w:ascii="Palatino Linotype" w:eastAsia="Times New Roman" w:hAnsi="Palatino Linotype"/>
          <w:bCs/>
          <w:sz w:val="22"/>
          <w:szCs w:val="22"/>
          <w:lang w:val="en-US" w:eastAsia="en-GB"/>
        </w:rPr>
        <w:t xml:space="preserve"> in the currency options segment.</w:t>
      </w:r>
    </w:p>
    <w:p w:rsidR="009D5D54" w:rsidRPr="008C03CF"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8C03CF">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Jun</w:t>
      </w:r>
      <w:r w:rsidR="006D0CFF">
        <w:rPr>
          <w:rFonts w:ascii="Palatino Linotype" w:eastAsia="Times New Roman" w:hAnsi="Palatino Linotype"/>
          <w:bCs/>
          <w:sz w:val="22"/>
          <w:szCs w:val="22"/>
          <w:lang w:val="en-US" w:eastAsia="en-GB"/>
        </w:rPr>
        <w:t>e</w:t>
      </w:r>
      <w:r w:rsidRPr="008C03CF">
        <w:rPr>
          <w:rFonts w:ascii="Palatino Linotype" w:eastAsia="Times New Roman" w:hAnsi="Palatino Linotype"/>
          <w:bCs/>
          <w:sz w:val="22"/>
          <w:szCs w:val="22"/>
          <w:lang w:val="en-US" w:eastAsia="en-GB"/>
        </w:rPr>
        <w:t xml:space="preserve"> 2021, the highest number of interest rate futures were traded at CME Group (</w:t>
      </w:r>
      <w:r w:rsidRPr="001A3839">
        <w:rPr>
          <w:rFonts w:ascii="Palatino Linotype" w:eastAsia="Times New Roman" w:hAnsi="Palatino Linotype"/>
          <w:bCs/>
          <w:sz w:val="22"/>
          <w:szCs w:val="22"/>
          <w:lang w:val="en-US" w:eastAsia="en-GB"/>
        </w:rPr>
        <w:t>144,510,267)</w:t>
      </w:r>
      <w:r w:rsidRPr="008C03CF">
        <w:rPr>
          <w:rFonts w:ascii="Palatino Linotype" w:eastAsia="Times New Roman" w:hAnsi="Palatino Linotype"/>
          <w:bCs/>
          <w:sz w:val="22"/>
          <w:szCs w:val="22"/>
          <w:lang w:val="en-US" w:eastAsia="en-GB"/>
        </w:rPr>
        <w:t xml:space="preserve"> followed by </w:t>
      </w:r>
      <w:r w:rsidRPr="00C749A8">
        <w:rPr>
          <w:rFonts w:ascii="Palatino Linotype" w:eastAsia="Times New Roman" w:hAnsi="Palatino Linotype"/>
          <w:bCs/>
          <w:sz w:val="22"/>
          <w:szCs w:val="22"/>
          <w:lang w:val="en-US" w:eastAsia="en-GB"/>
        </w:rPr>
        <w:t>B3 - Brasil Bolsa Balcão</w:t>
      </w:r>
      <w:r w:rsidRPr="008C03CF">
        <w:rPr>
          <w:rFonts w:ascii="Palatino Linotype" w:eastAsia="Times New Roman" w:hAnsi="Palatino Linotype"/>
          <w:bCs/>
          <w:sz w:val="22"/>
          <w:szCs w:val="22"/>
          <w:lang w:val="en-US" w:eastAsia="en-GB"/>
        </w:rPr>
        <w:t xml:space="preserve"> (</w:t>
      </w:r>
      <w:r w:rsidRPr="001A3839">
        <w:rPr>
          <w:rFonts w:ascii="Palatino Linotype" w:eastAsia="Times New Roman" w:hAnsi="Palatino Linotype"/>
          <w:bCs/>
          <w:sz w:val="22"/>
          <w:szCs w:val="22"/>
          <w:lang w:val="en-US" w:eastAsia="en-GB"/>
        </w:rPr>
        <w:t>59,640,134)</w:t>
      </w:r>
      <w:r w:rsidRPr="008C03CF">
        <w:rPr>
          <w:rFonts w:ascii="Palatino Linotype" w:eastAsia="Times New Roman" w:hAnsi="Palatino Linotype"/>
          <w:bCs/>
          <w:sz w:val="22"/>
          <w:szCs w:val="22"/>
          <w:lang w:val="en-US" w:eastAsia="en-GB"/>
        </w:rPr>
        <w:t xml:space="preserve">. Highest number of interest rate options were </w:t>
      </w:r>
      <w:r w:rsidR="006D0CFF">
        <w:rPr>
          <w:rFonts w:ascii="Palatino Linotype" w:eastAsia="Times New Roman" w:hAnsi="Palatino Linotype"/>
          <w:bCs/>
          <w:sz w:val="22"/>
          <w:szCs w:val="22"/>
          <w:lang w:val="en-US" w:eastAsia="en-GB"/>
        </w:rPr>
        <w:t xml:space="preserve">also </w:t>
      </w:r>
      <w:r w:rsidRPr="008C03CF">
        <w:rPr>
          <w:rFonts w:ascii="Palatino Linotype" w:eastAsia="Times New Roman" w:hAnsi="Palatino Linotype"/>
          <w:bCs/>
          <w:sz w:val="22"/>
          <w:szCs w:val="22"/>
          <w:lang w:val="en-US" w:eastAsia="en-GB"/>
        </w:rPr>
        <w:t>traded at CME Group (</w:t>
      </w:r>
      <w:r w:rsidRPr="001A3839">
        <w:rPr>
          <w:rFonts w:ascii="Palatino Linotype" w:eastAsia="Times New Roman" w:hAnsi="Palatino Linotype"/>
          <w:bCs/>
          <w:sz w:val="22"/>
          <w:szCs w:val="22"/>
          <w:lang w:val="en-US" w:eastAsia="en-GB"/>
        </w:rPr>
        <w:t>43,961,134)</w:t>
      </w:r>
      <w:r w:rsidRPr="008C03CF">
        <w:rPr>
          <w:rFonts w:ascii="Palatino Linotype" w:eastAsia="Times New Roman" w:hAnsi="Palatino Linotype"/>
          <w:bCs/>
          <w:sz w:val="22"/>
          <w:szCs w:val="22"/>
          <w:lang w:val="en-US" w:eastAsia="en-GB"/>
        </w:rPr>
        <w:t xml:space="preserve"> followed by B3 - Brasil Bolsa Balcão (</w:t>
      </w:r>
      <w:r w:rsidRPr="001A3839">
        <w:rPr>
          <w:rFonts w:ascii="Palatino Linotype" w:eastAsia="Times New Roman" w:hAnsi="Palatino Linotype"/>
          <w:bCs/>
          <w:sz w:val="22"/>
          <w:szCs w:val="22"/>
          <w:lang w:val="en-US" w:eastAsia="en-GB"/>
        </w:rPr>
        <w:t>19,162,854)</w:t>
      </w:r>
      <w:r w:rsidRPr="008C03CF">
        <w:rPr>
          <w:rFonts w:ascii="Palatino Linotype" w:eastAsia="Times New Roman" w:hAnsi="Palatino Linotype"/>
          <w:bCs/>
          <w:sz w:val="22"/>
          <w:szCs w:val="22"/>
          <w:lang w:val="en-US" w:eastAsia="en-GB"/>
        </w:rPr>
        <w:t xml:space="preserve">. </w:t>
      </w:r>
    </w:p>
    <w:p w:rsidR="009D5D54" w:rsidRPr="008C03CF" w:rsidRDefault="009D5D54" w:rsidP="009D5D54">
      <w:pPr>
        <w:numPr>
          <w:ilvl w:val="0"/>
          <w:numId w:val="8"/>
        </w:numPr>
        <w:spacing w:line="276" w:lineRule="auto"/>
        <w:jc w:val="both"/>
        <w:rPr>
          <w:rFonts w:ascii="Palatino Linotype" w:eastAsia="Times New Roman" w:hAnsi="Palatino Linotype"/>
          <w:bCs/>
          <w:sz w:val="22"/>
          <w:szCs w:val="22"/>
          <w:lang w:val="en-US" w:eastAsia="en-GB"/>
        </w:rPr>
      </w:pPr>
      <w:r w:rsidRPr="008C03CF">
        <w:rPr>
          <w:rFonts w:ascii="Palatino Linotype" w:eastAsia="Times New Roman" w:hAnsi="Palatino Linotype"/>
          <w:bCs/>
          <w:sz w:val="22"/>
          <w:szCs w:val="22"/>
          <w:lang w:val="en-US" w:eastAsia="en-GB"/>
        </w:rPr>
        <w:t>The highest number of commodity futures contracts were traded at Zhengzhou Commodity Exchange (</w:t>
      </w:r>
      <w:r w:rsidRPr="00C524B5">
        <w:rPr>
          <w:rFonts w:ascii="Palatino Linotype" w:eastAsia="Times New Roman" w:hAnsi="Palatino Linotype"/>
          <w:bCs/>
          <w:sz w:val="22"/>
          <w:szCs w:val="22"/>
          <w:lang w:val="en-US" w:eastAsia="en-GB"/>
        </w:rPr>
        <w:t>189,812,566)</w:t>
      </w:r>
      <w:r w:rsidRPr="008C03CF">
        <w:rPr>
          <w:rFonts w:ascii="Palatino Linotype" w:eastAsia="Times New Roman" w:hAnsi="Palatino Linotype"/>
          <w:bCs/>
          <w:sz w:val="22"/>
          <w:szCs w:val="22"/>
          <w:lang w:val="en-US" w:eastAsia="en-GB"/>
        </w:rPr>
        <w:t xml:space="preserve"> followed by Shanghai Futures Exchange (</w:t>
      </w:r>
      <w:r w:rsidRPr="00C524B5">
        <w:rPr>
          <w:rFonts w:ascii="Palatino Linotype" w:eastAsia="Times New Roman" w:hAnsi="Palatino Linotype"/>
          <w:bCs/>
          <w:sz w:val="22"/>
          <w:szCs w:val="22"/>
          <w:lang w:val="en-US" w:eastAsia="en-GB"/>
        </w:rPr>
        <w:t>189,042,440)</w:t>
      </w:r>
      <w:r w:rsidRPr="008C03CF">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Jun</w:t>
      </w:r>
      <w:r w:rsidR="006D0CFF">
        <w:rPr>
          <w:rFonts w:ascii="Palatino Linotype" w:eastAsia="Times New Roman" w:hAnsi="Palatino Linotype"/>
          <w:bCs/>
          <w:sz w:val="22"/>
          <w:szCs w:val="22"/>
          <w:lang w:val="en-US" w:eastAsia="en-GB"/>
        </w:rPr>
        <w:t>e</w:t>
      </w:r>
      <w:r w:rsidRPr="008C03CF">
        <w:rPr>
          <w:rFonts w:ascii="Palatino Linotype" w:eastAsia="Times New Roman" w:hAnsi="Palatino Linotype"/>
          <w:bCs/>
          <w:sz w:val="22"/>
          <w:szCs w:val="22"/>
          <w:lang w:val="en-US" w:eastAsia="en-GB"/>
        </w:rPr>
        <w:t xml:space="preserve"> 2021. Among the commodity options</w:t>
      </w:r>
      <w:r w:rsidR="006D0CFF">
        <w:rPr>
          <w:rFonts w:ascii="Palatino Linotype" w:eastAsia="Times New Roman" w:hAnsi="Palatino Linotype"/>
          <w:bCs/>
          <w:sz w:val="22"/>
          <w:szCs w:val="22"/>
          <w:lang w:val="en-US" w:eastAsia="en-GB"/>
        </w:rPr>
        <w:t>,</w:t>
      </w:r>
      <w:r w:rsidRPr="008C03CF">
        <w:rPr>
          <w:rFonts w:ascii="Palatino Linotype" w:eastAsia="Times New Roman" w:hAnsi="Palatino Linotype"/>
          <w:bCs/>
          <w:sz w:val="22"/>
          <w:szCs w:val="22"/>
          <w:lang w:val="en-US" w:eastAsia="en-GB"/>
        </w:rPr>
        <w:t xml:space="preserve"> the highest number of contracts were traded at CME Group (</w:t>
      </w:r>
      <w:r w:rsidRPr="00C524B5">
        <w:rPr>
          <w:rFonts w:ascii="Palatino Linotype" w:eastAsia="Times New Roman" w:hAnsi="Palatino Linotype"/>
          <w:bCs/>
          <w:sz w:val="22"/>
          <w:szCs w:val="22"/>
          <w:lang w:val="en-US" w:eastAsia="en-GB"/>
        </w:rPr>
        <w:t>14,137,453)</w:t>
      </w:r>
      <w:r w:rsidRPr="008C03CF">
        <w:rPr>
          <w:rFonts w:ascii="Palatino Linotype" w:eastAsia="Times New Roman" w:hAnsi="Palatino Linotype"/>
          <w:bCs/>
          <w:sz w:val="22"/>
          <w:szCs w:val="22"/>
          <w:lang w:val="en-US" w:eastAsia="en-GB"/>
        </w:rPr>
        <w:t xml:space="preserve"> followed by </w:t>
      </w:r>
      <w:r w:rsidRPr="00C524B5">
        <w:rPr>
          <w:rFonts w:ascii="Palatino Linotype" w:eastAsia="Times New Roman" w:hAnsi="Palatino Linotype"/>
          <w:bCs/>
          <w:sz w:val="22"/>
          <w:szCs w:val="22"/>
          <w:lang w:val="en-US" w:eastAsia="en-GB"/>
        </w:rPr>
        <w:t>Dalian Commodity Exchange</w:t>
      </w:r>
      <w:r w:rsidRPr="008C03CF">
        <w:rPr>
          <w:rFonts w:ascii="Palatino Linotype" w:eastAsia="Times New Roman" w:hAnsi="Palatino Linotype"/>
          <w:bCs/>
          <w:sz w:val="22"/>
          <w:szCs w:val="22"/>
          <w:lang w:val="en-US" w:eastAsia="en-GB"/>
        </w:rPr>
        <w:t xml:space="preserve"> (</w:t>
      </w:r>
      <w:r w:rsidRPr="00C524B5">
        <w:rPr>
          <w:rFonts w:ascii="Palatino Linotype" w:eastAsia="Times New Roman" w:hAnsi="Palatino Linotype"/>
          <w:bCs/>
          <w:sz w:val="22"/>
          <w:szCs w:val="22"/>
          <w:lang w:val="en-US" w:eastAsia="en-GB"/>
        </w:rPr>
        <w:t>8,150,978)</w:t>
      </w:r>
      <w:r w:rsidRPr="008C03CF">
        <w:rPr>
          <w:rFonts w:ascii="Palatino Linotype" w:eastAsia="Times New Roman" w:hAnsi="Palatino Linotype"/>
          <w:bCs/>
          <w:sz w:val="22"/>
          <w:szCs w:val="22"/>
          <w:lang w:val="en-US" w:eastAsia="en-GB"/>
        </w:rPr>
        <w:t xml:space="preserve"> during the same period.</w:t>
      </w:r>
    </w:p>
    <w:p w:rsidR="009D5D54" w:rsidRPr="00DC5A27" w:rsidRDefault="009D5D54" w:rsidP="009D5D54">
      <w:pPr>
        <w:numPr>
          <w:ilvl w:val="0"/>
          <w:numId w:val="8"/>
        </w:numPr>
        <w:spacing w:line="276" w:lineRule="auto"/>
        <w:jc w:val="both"/>
        <w:rPr>
          <w:rFonts w:ascii="Palatino Linotype" w:hAnsi="Palatino Linotype"/>
          <w:bCs/>
          <w:sz w:val="22"/>
          <w:szCs w:val="22"/>
          <w:lang w:val="en-US"/>
        </w:rPr>
      </w:pPr>
      <w:r w:rsidRPr="008C03CF">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Jul</w:t>
      </w:r>
      <w:r w:rsidR="006D0CFF">
        <w:rPr>
          <w:rFonts w:ascii="Palatino Linotype" w:eastAsia="Times New Roman" w:hAnsi="Palatino Linotype"/>
          <w:bCs/>
          <w:sz w:val="22"/>
          <w:szCs w:val="22"/>
          <w:lang w:val="en-US" w:eastAsia="en-GB"/>
        </w:rPr>
        <w:t>y</w:t>
      </w:r>
      <w:r>
        <w:rPr>
          <w:rFonts w:ascii="Palatino Linotype" w:eastAsia="Times New Roman" w:hAnsi="Palatino Linotype"/>
          <w:bCs/>
          <w:sz w:val="22"/>
          <w:szCs w:val="22"/>
          <w:lang w:val="en-US" w:eastAsia="en-GB"/>
        </w:rPr>
        <w:t xml:space="preserve"> 2021</w:t>
      </w:r>
      <w:r w:rsidRPr="008C03CF">
        <w:rPr>
          <w:rFonts w:ascii="Palatino Linotype" w:eastAsia="Times New Roman" w:hAnsi="Palatino Linotype"/>
          <w:bCs/>
          <w:sz w:val="22"/>
          <w:szCs w:val="22"/>
          <w:lang w:val="en-US" w:eastAsia="en-GB"/>
        </w:rPr>
        <w:t>, most of the analysed</w:t>
      </w:r>
      <w:r w:rsidRPr="008C03CF">
        <w:rPr>
          <w:rFonts w:ascii="Palatino Linotype" w:eastAsia="Times New Roman" w:hAnsi="Palatino Linotype"/>
          <w:bCs/>
          <w:sz w:val="22"/>
          <w:szCs w:val="22"/>
          <w:vertAlign w:val="superscript"/>
          <w:lang w:val="en-US" w:eastAsia="en-GB"/>
        </w:rPr>
        <w:footnoteReference w:id="7"/>
      </w:r>
      <w:r w:rsidRPr="008C03CF">
        <w:rPr>
          <w:rFonts w:ascii="Palatino Linotype" w:eastAsia="Times New Roman" w:hAnsi="Palatino Linotype"/>
          <w:bCs/>
          <w:sz w:val="22"/>
          <w:szCs w:val="22"/>
          <w:lang w:val="en-US" w:eastAsia="en-GB"/>
        </w:rPr>
        <w:t xml:space="preserve"> currencies </w:t>
      </w:r>
      <w:r>
        <w:rPr>
          <w:rFonts w:ascii="Palatino Linotype" w:eastAsia="Times New Roman" w:hAnsi="Palatino Linotype"/>
          <w:bCs/>
          <w:sz w:val="22"/>
          <w:szCs w:val="22"/>
          <w:lang w:val="en-US" w:eastAsia="en-GB"/>
        </w:rPr>
        <w:t>depreciated</w:t>
      </w:r>
      <w:r w:rsidRPr="008C03CF">
        <w:rPr>
          <w:rFonts w:ascii="Palatino Linotype" w:eastAsia="Times New Roman" w:hAnsi="Palatino Linotype"/>
          <w:bCs/>
          <w:sz w:val="22"/>
          <w:szCs w:val="22"/>
          <w:lang w:val="en-US" w:eastAsia="en-GB"/>
        </w:rPr>
        <w:t xml:space="preserve"> against dollar. </w:t>
      </w:r>
      <w:r w:rsidR="006D0CFF">
        <w:rPr>
          <w:rFonts w:ascii="Palatino Linotype" w:eastAsia="Times New Roman" w:hAnsi="Palatino Linotype"/>
          <w:bCs/>
          <w:sz w:val="22"/>
          <w:szCs w:val="22"/>
          <w:lang w:val="en-US" w:eastAsia="en-GB"/>
        </w:rPr>
        <w:t xml:space="preserve">Brazilian </w:t>
      </w:r>
      <w:r>
        <w:rPr>
          <w:rFonts w:ascii="Palatino Linotype" w:eastAsia="Times New Roman" w:hAnsi="Palatino Linotype"/>
          <w:bCs/>
          <w:sz w:val="22"/>
          <w:szCs w:val="22"/>
          <w:lang w:val="en-US" w:eastAsia="en-GB"/>
        </w:rPr>
        <w:t>Real</w:t>
      </w:r>
      <w:r w:rsidRPr="008C03CF">
        <w:rPr>
          <w:rFonts w:ascii="Palatino Linotype" w:eastAsia="Times New Roman" w:hAnsi="Palatino Linotype"/>
          <w:bCs/>
          <w:sz w:val="22"/>
          <w:szCs w:val="22"/>
          <w:lang w:val="en-US" w:eastAsia="en-GB"/>
        </w:rPr>
        <w:t xml:space="preserve"> </w:t>
      </w:r>
      <w:r w:rsidR="006D0CFF">
        <w:rPr>
          <w:rFonts w:ascii="Palatino Linotype" w:eastAsia="Times New Roman" w:hAnsi="Palatino Linotype"/>
          <w:bCs/>
          <w:sz w:val="22"/>
          <w:szCs w:val="22"/>
          <w:lang w:val="en-US" w:eastAsia="en-GB"/>
        </w:rPr>
        <w:t xml:space="preserve">depreciated the most while </w:t>
      </w:r>
      <w:r w:rsidRPr="00457F93">
        <w:rPr>
          <w:rFonts w:ascii="Palatino Linotype" w:eastAsia="Times New Roman" w:hAnsi="Palatino Linotype"/>
          <w:bCs/>
          <w:sz w:val="22"/>
          <w:szCs w:val="22"/>
          <w:lang w:val="en-US" w:eastAsia="en-GB"/>
        </w:rPr>
        <w:t>Swiss Franc</w:t>
      </w:r>
      <w:r>
        <w:rPr>
          <w:rFonts w:ascii="Palatino Linotype" w:eastAsia="Times New Roman" w:hAnsi="Palatino Linotype"/>
          <w:bCs/>
          <w:sz w:val="22"/>
          <w:szCs w:val="22"/>
          <w:lang w:val="en-US" w:eastAsia="en-GB"/>
        </w:rPr>
        <w:t xml:space="preserve"> </w:t>
      </w:r>
      <w:r w:rsidR="006D0CFF">
        <w:rPr>
          <w:rFonts w:ascii="Palatino Linotype" w:eastAsia="Times New Roman" w:hAnsi="Palatino Linotype"/>
          <w:bCs/>
          <w:sz w:val="22"/>
          <w:szCs w:val="22"/>
          <w:lang w:val="en-US" w:eastAsia="en-GB"/>
        </w:rPr>
        <w:t>appreciated the most</w:t>
      </w:r>
      <w:r>
        <w:rPr>
          <w:rFonts w:ascii="Palatino Linotype" w:eastAsia="Times New Roman" w:hAnsi="Palatino Linotype"/>
          <w:bCs/>
          <w:sz w:val="22"/>
          <w:szCs w:val="22"/>
          <w:lang w:val="en-US" w:eastAsia="en-GB"/>
        </w:rPr>
        <w:t xml:space="preserve"> during the month among</w:t>
      </w:r>
      <w:r w:rsidRPr="008C03CF">
        <w:rPr>
          <w:rFonts w:ascii="Palatino Linotype" w:eastAsia="Times New Roman" w:hAnsi="Palatino Linotype"/>
          <w:bCs/>
          <w:sz w:val="22"/>
          <w:szCs w:val="22"/>
          <w:lang w:val="en-US" w:eastAsia="en-GB"/>
        </w:rPr>
        <w:t xml:space="preserve"> the analysed currencies.</w:t>
      </w:r>
    </w:p>
    <w:p w:rsidR="009D5D54" w:rsidRDefault="009D5D54" w:rsidP="009D5D54">
      <w:pPr>
        <w:spacing w:line="276" w:lineRule="auto"/>
        <w:outlineLvl w:val="0"/>
        <w:rPr>
          <w:rFonts w:ascii="Palatino Linotype" w:eastAsia="Times New Roman" w:hAnsi="Palatino Linotype"/>
          <w:b/>
          <w:sz w:val="22"/>
          <w:szCs w:val="22"/>
          <w:u w:val="single"/>
        </w:rPr>
      </w:pPr>
    </w:p>
    <w:p w:rsidR="006D0CFF" w:rsidRDefault="006D0CFF" w:rsidP="009D5D54">
      <w:pPr>
        <w:spacing w:line="276" w:lineRule="auto"/>
        <w:outlineLvl w:val="0"/>
        <w:rPr>
          <w:rFonts w:ascii="Palatino Linotype" w:eastAsia="Times New Roman" w:hAnsi="Palatino Linotype"/>
          <w:b/>
          <w:sz w:val="22"/>
          <w:szCs w:val="22"/>
          <w:u w:val="single"/>
        </w:rPr>
      </w:pPr>
    </w:p>
    <w:p w:rsidR="006D0CFF" w:rsidRPr="00DC5A27" w:rsidRDefault="006D0CFF" w:rsidP="009D5D54">
      <w:pPr>
        <w:spacing w:line="276" w:lineRule="auto"/>
        <w:outlineLvl w:val="0"/>
        <w:rPr>
          <w:rFonts w:ascii="Palatino Linotype" w:eastAsia="Times New Roman" w:hAnsi="Palatino Linotype"/>
          <w:b/>
          <w:sz w:val="22"/>
          <w:szCs w:val="22"/>
          <w:u w:val="single"/>
        </w:rPr>
      </w:pPr>
    </w:p>
    <w:p w:rsidR="009D5D54" w:rsidRPr="0024165F" w:rsidRDefault="009D5D54" w:rsidP="009D5D54">
      <w:pPr>
        <w:spacing w:line="276" w:lineRule="auto"/>
        <w:outlineLvl w:val="0"/>
        <w:rPr>
          <w:rFonts w:ascii="Palatino Linotype" w:eastAsia="Times New Roman" w:hAnsi="Palatino Linotype"/>
          <w:b/>
          <w:sz w:val="22"/>
          <w:szCs w:val="22"/>
          <w:lang w:eastAsia="en-GB"/>
        </w:rPr>
      </w:pPr>
      <w:r w:rsidRPr="0024165F">
        <w:rPr>
          <w:rFonts w:ascii="Palatino Linotype" w:eastAsia="Times New Roman" w:hAnsi="Palatino Linotype"/>
          <w:b/>
          <w:sz w:val="22"/>
          <w:szCs w:val="22"/>
          <w:u w:val="single"/>
        </w:rPr>
        <w:lastRenderedPageBreak/>
        <w:t xml:space="preserve">US Treasury Securities </w:t>
      </w:r>
      <w:r w:rsidRPr="0024165F">
        <w:rPr>
          <w:rFonts w:ascii="Palatino Linotype" w:eastAsia="Times New Roman" w:hAnsi="Palatino Linotype"/>
          <w:b/>
          <w:sz w:val="22"/>
          <w:szCs w:val="22"/>
          <w:lang w:eastAsia="en-GB"/>
        </w:rPr>
        <w:t>(Table A9)</w:t>
      </w:r>
    </w:p>
    <w:p w:rsidR="009D5D54" w:rsidRPr="00D02A3E" w:rsidRDefault="009D5D54" w:rsidP="009D5D54">
      <w:pPr>
        <w:spacing w:line="276" w:lineRule="auto"/>
        <w:outlineLvl w:val="0"/>
        <w:rPr>
          <w:rFonts w:ascii="Palatino Linotype" w:hAnsi="Palatino Linotype"/>
          <w:bCs/>
          <w:sz w:val="22"/>
          <w:szCs w:val="22"/>
        </w:rPr>
      </w:pPr>
    </w:p>
    <w:p w:rsidR="009D5D54" w:rsidRPr="00416D3B" w:rsidRDefault="009D5D54" w:rsidP="009D5D54">
      <w:pPr>
        <w:numPr>
          <w:ilvl w:val="0"/>
          <w:numId w:val="8"/>
        </w:numPr>
        <w:spacing w:line="276" w:lineRule="auto"/>
        <w:contextualSpacing/>
        <w:jc w:val="both"/>
        <w:rPr>
          <w:rFonts w:ascii="Palatino Linotype" w:hAnsi="Palatino Linotype"/>
          <w:bCs/>
          <w:sz w:val="22"/>
          <w:szCs w:val="22"/>
          <w:lang w:val="en-US"/>
        </w:rPr>
      </w:pPr>
      <w:r w:rsidRPr="00416D3B">
        <w:rPr>
          <w:rFonts w:ascii="Palatino Linotype" w:eastAsia="Times New Roman" w:hAnsi="Palatino Linotype"/>
          <w:bCs/>
          <w:sz w:val="22"/>
          <w:szCs w:val="22"/>
          <w:lang w:val="en-US" w:eastAsia="en-GB"/>
        </w:rPr>
        <w:t xml:space="preserve">At the end of </w:t>
      </w:r>
      <w:r>
        <w:rPr>
          <w:rFonts w:ascii="Palatino Linotype" w:eastAsia="Times New Roman" w:hAnsi="Palatino Linotype"/>
          <w:bCs/>
          <w:sz w:val="22"/>
          <w:szCs w:val="22"/>
          <w:lang w:val="en-US" w:eastAsia="en-GB"/>
        </w:rPr>
        <w:t>June</w:t>
      </w:r>
      <w:r w:rsidRPr="00416D3B">
        <w:rPr>
          <w:rFonts w:ascii="Palatino Linotype" w:eastAsia="Times New Roman" w:hAnsi="Palatino Linotype"/>
          <w:bCs/>
          <w:sz w:val="22"/>
          <w:szCs w:val="22"/>
          <w:lang w:val="en-US" w:eastAsia="en-GB"/>
        </w:rPr>
        <w:t xml:space="preserve"> 2021, Japan was the biggest foreign holder of US Treasury Securities holding 17.7 per cent of the total US treasury Securities followed by China with </w:t>
      </w:r>
      <w:r>
        <w:rPr>
          <w:rFonts w:ascii="Palatino Linotype" w:eastAsia="Times New Roman" w:hAnsi="Palatino Linotype"/>
          <w:bCs/>
          <w:sz w:val="22"/>
          <w:szCs w:val="22"/>
          <w:lang w:val="en-US" w:eastAsia="en-GB"/>
        </w:rPr>
        <w:t>14.7</w:t>
      </w:r>
      <w:r w:rsidRPr="00416D3B">
        <w:rPr>
          <w:rFonts w:ascii="Palatino Linotype" w:eastAsia="Times New Roman" w:hAnsi="Palatino Linotype"/>
          <w:bCs/>
          <w:sz w:val="22"/>
          <w:szCs w:val="22"/>
          <w:lang w:val="en-US" w:eastAsia="en-GB"/>
        </w:rPr>
        <w:t xml:space="preserve"> per cent. The total foreign holding of US Treasury Securities at the end of </w:t>
      </w:r>
      <w:r>
        <w:rPr>
          <w:rFonts w:ascii="Palatino Linotype" w:eastAsia="Times New Roman" w:hAnsi="Palatino Linotype"/>
          <w:bCs/>
          <w:sz w:val="22"/>
          <w:szCs w:val="22"/>
          <w:lang w:val="en-US" w:eastAsia="en-GB"/>
        </w:rPr>
        <w:t>June</w:t>
      </w:r>
      <w:r w:rsidRPr="00416D3B">
        <w:rPr>
          <w:rFonts w:ascii="Palatino Linotype" w:eastAsia="Times New Roman" w:hAnsi="Palatino Linotype"/>
          <w:bCs/>
          <w:sz w:val="22"/>
          <w:szCs w:val="22"/>
          <w:lang w:val="en-US" w:eastAsia="en-GB"/>
        </w:rPr>
        <w:t xml:space="preserve"> 2021 was USD 7,</w:t>
      </w:r>
      <w:r>
        <w:rPr>
          <w:rFonts w:ascii="Palatino Linotype" w:eastAsia="Times New Roman" w:hAnsi="Palatino Linotype"/>
          <w:bCs/>
          <w:sz w:val="22"/>
          <w:szCs w:val="22"/>
          <w:lang w:val="en-US" w:eastAsia="en-GB"/>
        </w:rPr>
        <w:t>202</w:t>
      </w:r>
      <w:r w:rsidRPr="00416D3B">
        <w:rPr>
          <w:rFonts w:ascii="Palatino Linotype" w:eastAsia="Times New Roman" w:hAnsi="Palatino Linotype"/>
          <w:bCs/>
          <w:sz w:val="22"/>
          <w:szCs w:val="22"/>
          <w:lang w:val="en-US" w:eastAsia="en-GB"/>
        </w:rPr>
        <w:t xml:space="preserve"> billion. The holdings of US Treasury Securities by India </w:t>
      </w:r>
      <w:r>
        <w:rPr>
          <w:rFonts w:ascii="Palatino Linotype" w:eastAsia="Times New Roman" w:hAnsi="Palatino Linotype"/>
          <w:bCs/>
          <w:sz w:val="22"/>
          <w:szCs w:val="22"/>
          <w:lang w:val="en-US" w:eastAsia="en-GB"/>
        </w:rPr>
        <w:t>increased to</w:t>
      </w:r>
      <w:r w:rsidRPr="00416D3B">
        <w:rPr>
          <w:rFonts w:ascii="Palatino Linotype" w:eastAsia="Times New Roman" w:hAnsi="Palatino Linotype"/>
          <w:bCs/>
          <w:sz w:val="22"/>
          <w:szCs w:val="22"/>
          <w:lang w:val="en-US" w:eastAsia="en-GB"/>
        </w:rPr>
        <w:t xml:space="preserve"> 3</w:t>
      </w:r>
      <w:r>
        <w:rPr>
          <w:rFonts w:ascii="Palatino Linotype" w:eastAsia="Times New Roman" w:hAnsi="Palatino Linotype"/>
          <w:bCs/>
          <w:sz w:val="22"/>
          <w:szCs w:val="22"/>
          <w:lang w:val="en-US" w:eastAsia="en-GB"/>
        </w:rPr>
        <w:t>.1</w:t>
      </w:r>
      <w:r w:rsidRPr="00416D3B">
        <w:rPr>
          <w:rFonts w:ascii="Palatino Linotype" w:eastAsia="Times New Roman" w:hAnsi="Palatino Linotype"/>
          <w:bCs/>
          <w:sz w:val="22"/>
          <w:szCs w:val="22"/>
          <w:lang w:val="en-US" w:eastAsia="en-GB"/>
        </w:rPr>
        <w:t xml:space="preserve"> per cent at the end of </w:t>
      </w:r>
      <w:r>
        <w:rPr>
          <w:rFonts w:ascii="Palatino Linotype" w:eastAsia="Times New Roman" w:hAnsi="Palatino Linotype"/>
          <w:bCs/>
          <w:sz w:val="22"/>
          <w:szCs w:val="22"/>
          <w:lang w:val="en-US" w:eastAsia="en-GB"/>
        </w:rPr>
        <w:t>June</w:t>
      </w:r>
      <w:r w:rsidRPr="00416D3B">
        <w:rPr>
          <w:rFonts w:ascii="Palatino Linotype" w:eastAsia="Times New Roman" w:hAnsi="Palatino Linotype"/>
          <w:bCs/>
          <w:sz w:val="22"/>
          <w:szCs w:val="22"/>
          <w:lang w:val="en-US" w:eastAsia="en-GB"/>
        </w:rPr>
        <w:t xml:space="preserve"> 2021</w:t>
      </w:r>
      <w:r>
        <w:rPr>
          <w:rFonts w:ascii="Palatino Linotype" w:eastAsia="Times New Roman" w:hAnsi="Palatino Linotype"/>
          <w:bCs/>
          <w:sz w:val="22"/>
          <w:szCs w:val="22"/>
          <w:lang w:val="en-US" w:eastAsia="en-GB"/>
        </w:rPr>
        <w:t xml:space="preserve"> from 3.0 </w:t>
      </w:r>
      <w:r w:rsidR="006D0CFF">
        <w:rPr>
          <w:rFonts w:ascii="Palatino Linotype" w:eastAsia="Times New Roman" w:hAnsi="Palatino Linotype"/>
          <w:bCs/>
          <w:sz w:val="22"/>
          <w:szCs w:val="22"/>
          <w:lang w:val="en-US" w:eastAsia="en-GB"/>
        </w:rPr>
        <w:t xml:space="preserve"> per cent in May 2021.</w:t>
      </w:r>
    </w:p>
    <w:p w:rsidR="009D5D54" w:rsidRPr="0024165F" w:rsidRDefault="009D5D54" w:rsidP="009D5D54">
      <w:pPr>
        <w:rPr>
          <w:rFonts w:ascii="Garamond" w:hAnsi="Garamond"/>
          <w:b/>
          <w:bCs/>
          <w:szCs w:val="22"/>
        </w:rPr>
      </w:pPr>
    </w:p>
    <w:p w:rsidR="009D5D54" w:rsidRPr="0024165F" w:rsidRDefault="009D5D54" w:rsidP="009D5D54">
      <w:pPr>
        <w:rPr>
          <w:rFonts w:ascii="Garamond" w:hAnsi="Garamond"/>
          <w:b/>
          <w:bCs/>
          <w:szCs w:val="22"/>
        </w:rPr>
      </w:pPr>
    </w:p>
    <w:p w:rsidR="009D5D54" w:rsidRDefault="009D5D54" w:rsidP="009D5D54">
      <w:pPr>
        <w:rPr>
          <w:rFonts w:ascii="Garamond" w:hAnsi="Garamond"/>
          <w:b/>
          <w:bCs/>
          <w:szCs w:val="22"/>
        </w:rPr>
      </w:pPr>
    </w:p>
    <w:p w:rsidR="009D5D54" w:rsidRPr="002A058E" w:rsidRDefault="009D5D54" w:rsidP="009D5D54">
      <w:pPr>
        <w:rPr>
          <w:rFonts w:ascii="Garamond" w:hAnsi="Garamond"/>
          <w:bCs/>
          <w:szCs w:val="22"/>
        </w:rPr>
      </w:pPr>
      <w:r w:rsidRPr="002A058E">
        <w:rPr>
          <w:rFonts w:ascii="Garamond" w:hAnsi="Garamond"/>
          <w:b/>
          <w:bCs/>
          <w:szCs w:val="22"/>
        </w:rPr>
        <w:t>Figure 5: Movement of the Major Currencies against USD</w:t>
      </w:r>
    </w:p>
    <w:p w:rsidR="009D5D54" w:rsidRPr="002A058E" w:rsidRDefault="009D5D54" w:rsidP="009D5D54">
      <w:pPr>
        <w:spacing w:line="23" w:lineRule="atLeast"/>
        <w:jc w:val="both"/>
        <w:rPr>
          <w:rFonts w:ascii="Garamond" w:hAnsi="Garamond"/>
          <w:bCs/>
          <w:sz w:val="18"/>
          <w:szCs w:val="18"/>
        </w:rPr>
      </w:pPr>
      <w:r>
        <w:rPr>
          <w:rFonts w:ascii="Garamond" w:hAnsi="Garamond"/>
          <w:bCs/>
          <w:noProof/>
          <w:sz w:val="18"/>
          <w:szCs w:val="18"/>
          <w:lang w:val="en-IN" w:eastAsia="en-IN" w:bidi="hi-IN"/>
        </w:rPr>
        <w:drawing>
          <wp:inline distT="0" distB="0" distL="0" distR="0" wp14:anchorId="62F5AB3F" wp14:editId="7354F8FA">
            <wp:extent cx="5732780" cy="35877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780" cy="3587750"/>
                    </a:xfrm>
                    <a:prstGeom prst="rect">
                      <a:avLst/>
                    </a:prstGeom>
                    <a:noFill/>
                  </pic:spPr>
                </pic:pic>
              </a:graphicData>
            </a:graphic>
          </wp:inline>
        </w:drawing>
      </w:r>
    </w:p>
    <w:p w:rsidR="009D5D54" w:rsidRPr="002A058E" w:rsidRDefault="009D5D54" w:rsidP="009D5D54">
      <w:pPr>
        <w:spacing w:line="23" w:lineRule="atLeast"/>
        <w:jc w:val="both"/>
        <w:rPr>
          <w:rFonts w:ascii="Garamond" w:hAnsi="Garamond"/>
          <w:bCs/>
          <w:sz w:val="18"/>
          <w:szCs w:val="18"/>
        </w:rPr>
      </w:pPr>
      <w:r w:rsidRPr="002A058E">
        <w:rPr>
          <w:rFonts w:ascii="Garamond" w:hAnsi="Garamond"/>
          <w:bCs/>
          <w:sz w:val="18"/>
          <w:szCs w:val="18"/>
        </w:rPr>
        <w:t xml:space="preserve">Note: All indices have been </w:t>
      </w:r>
      <w:r>
        <w:rPr>
          <w:rFonts w:ascii="Garamond" w:hAnsi="Garamond"/>
          <w:bCs/>
          <w:sz w:val="18"/>
          <w:szCs w:val="18"/>
        </w:rPr>
        <w:t>normalised to 100 on 31 July 2020</w:t>
      </w:r>
      <w:r w:rsidRPr="002A058E">
        <w:rPr>
          <w:rFonts w:ascii="Garamond" w:hAnsi="Garamond"/>
          <w:bCs/>
          <w:sz w:val="18"/>
          <w:szCs w:val="18"/>
        </w:rPr>
        <w:t>.</w:t>
      </w:r>
    </w:p>
    <w:p w:rsidR="009D5D54" w:rsidRPr="002A058E" w:rsidRDefault="009D5D54" w:rsidP="009D5D54">
      <w:pPr>
        <w:spacing w:line="23" w:lineRule="atLeast"/>
        <w:outlineLvl w:val="0"/>
        <w:rPr>
          <w:rFonts w:ascii="Garamond" w:hAnsi="Garamond"/>
          <w:bCs/>
          <w:sz w:val="18"/>
          <w:szCs w:val="18"/>
        </w:rPr>
      </w:pPr>
      <w:r w:rsidRPr="002A058E">
        <w:rPr>
          <w:rFonts w:ascii="Garamond" w:hAnsi="Garamond"/>
          <w:bCs/>
          <w:sz w:val="18"/>
          <w:szCs w:val="18"/>
        </w:rPr>
        <w:t>Source: Refinitiv</w:t>
      </w:r>
    </w:p>
    <w:p w:rsidR="009D5D54" w:rsidRPr="002A058E" w:rsidRDefault="009D5D54" w:rsidP="009D5D54">
      <w:pPr>
        <w:rPr>
          <w:rFonts w:ascii="Garamond" w:hAnsi="Garamond"/>
          <w:b/>
          <w:bCs/>
          <w:szCs w:val="22"/>
        </w:rPr>
      </w:pPr>
    </w:p>
    <w:p w:rsidR="009D5D54" w:rsidRPr="002A058E" w:rsidRDefault="009D5D54" w:rsidP="009D5D54">
      <w:pPr>
        <w:rPr>
          <w:rFonts w:ascii="Garamond" w:hAnsi="Garamond"/>
          <w:b/>
          <w:bCs/>
          <w:szCs w:val="22"/>
        </w:rPr>
      </w:pPr>
    </w:p>
    <w:p w:rsidR="009D5D54" w:rsidRPr="002A058E" w:rsidRDefault="009D5D54" w:rsidP="009D5D54">
      <w:pPr>
        <w:rPr>
          <w:rFonts w:ascii="Garamond" w:hAnsi="Garamond"/>
          <w:b/>
          <w:bCs/>
          <w:szCs w:val="22"/>
        </w:rPr>
      </w:pPr>
    </w:p>
    <w:p w:rsidR="009D5D54" w:rsidRPr="002A058E" w:rsidRDefault="009D5D54" w:rsidP="009D5D54">
      <w:pPr>
        <w:rPr>
          <w:rFonts w:ascii="Garamond" w:hAnsi="Garamond"/>
          <w:b/>
          <w:bCs/>
          <w:szCs w:val="22"/>
        </w:rPr>
      </w:pPr>
    </w:p>
    <w:p w:rsidR="009D5D54" w:rsidRPr="002A058E" w:rsidRDefault="009D5D54" w:rsidP="009D5D54">
      <w:pPr>
        <w:rPr>
          <w:rFonts w:ascii="Garamond" w:hAnsi="Garamond"/>
          <w:b/>
          <w:bCs/>
          <w:szCs w:val="22"/>
        </w:rPr>
      </w:pPr>
      <w:r>
        <w:rPr>
          <w:rFonts w:ascii="Garamond" w:hAnsi="Garamond"/>
          <w:b/>
          <w:bCs/>
          <w:szCs w:val="22"/>
        </w:rPr>
        <w:br w:type="page"/>
      </w:r>
      <w:r w:rsidRPr="002A058E">
        <w:rPr>
          <w:rFonts w:ascii="Garamond" w:hAnsi="Garamond"/>
          <w:b/>
          <w:bCs/>
          <w:szCs w:val="22"/>
        </w:rPr>
        <w:lastRenderedPageBreak/>
        <w:t>Figure 6: Movement of the US Dollar Index and MSCI EM Currency Index</w:t>
      </w:r>
    </w:p>
    <w:p w:rsidR="009D5D54" w:rsidRPr="002A058E" w:rsidRDefault="009D5D54" w:rsidP="009D5D54">
      <w:pPr>
        <w:spacing w:line="23" w:lineRule="atLeast"/>
        <w:outlineLvl w:val="0"/>
        <w:rPr>
          <w:rFonts w:ascii="Garamond" w:hAnsi="Garamond"/>
          <w:bCs/>
          <w:sz w:val="22"/>
          <w:szCs w:val="22"/>
        </w:rPr>
      </w:pPr>
    </w:p>
    <w:p w:rsidR="009D5D54" w:rsidRPr="002A058E" w:rsidRDefault="009D5D54" w:rsidP="009D5D54">
      <w:pPr>
        <w:spacing w:line="23" w:lineRule="atLeast"/>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05B787B3" wp14:editId="4117E73E">
            <wp:extent cx="5450205" cy="29514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0205" cy="2951480"/>
                    </a:xfrm>
                    <a:prstGeom prst="rect">
                      <a:avLst/>
                    </a:prstGeom>
                    <a:noFill/>
                  </pic:spPr>
                </pic:pic>
              </a:graphicData>
            </a:graphic>
          </wp:inline>
        </w:drawing>
      </w:r>
    </w:p>
    <w:p w:rsidR="009D5D54" w:rsidRPr="002A058E" w:rsidRDefault="009D5D54" w:rsidP="009D5D54">
      <w:pPr>
        <w:tabs>
          <w:tab w:val="left" w:pos="3760"/>
        </w:tabs>
        <w:spacing w:line="23" w:lineRule="atLeast"/>
        <w:rPr>
          <w:rFonts w:ascii="Garamond" w:hAnsi="Garamond"/>
          <w:bCs/>
          <w:sz w:val="18"/>
          <w:szCs w:val="18"/>
        </w:rPr>
      </w:pPr>
      <w:r w:rsidRPr="002A058E">
        <w:rPr>
          <w:rFonts w:ascii="Garamond" w:hAnsi="Garamond"/>
          <w:bCs/>
          <w:sz w:val="18"/>
          <w:szCs w:val="18"/>
        </w:rPr>
        <w:t>Note:</w:t>
      </w:r>
    </w:p>
    <w:p w:rsidR="009D5D54" w:rsidRPr="002A058E" w:rsidRDefault="009D5D54" w:rsidP="009D5D5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 xml:space="preserve">All indices have been </w:t>
      </w:r>
      <w:r>
        <w:rPr>
          <w:rFonts w:ascii="Garamond" w:eastAsia="Times New Roman" w:hAnsi="Garamond"/>
          <w:bCs/>
          <w:sz w:val="18"/>
          <w:szCs w:val="18"/>
        </w:rPr>
        <w:t>normalised to 100 on 31 July 2020</w:t>
      </w:r>
      <w:r w:rsidRPr="002A058E">
        <w:rPr>
          <w:rFonts w:ascii="Garamond" w:eastAsia="Times New Roman" w:hAnsi="Garamond"/>
          <w:bCs/>
          <w:sz w:val="18"/>
          <w:szCs w:val="18"/>
        </w:rPr>
        <w:t>.</w:t>
      </w:r>
    </w:p>
    <w:p w:rsidR="009D5D54" w:rsidRPr="002A058E" w:rsidRDefault="009D5D54" w:rsidP="009D5D5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9D5D54" w:rsidRPr="002A058E" w:rsidRDefault="009D5D54" w:rsidP="009D5D5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MSCI Emerging Markets (EM) Currency Index tracks the performance of twenty-five emerging-market currencies relative to the US Dollar.</w:t>
      </w:r>
    </w:p>
    <w:p w:rsidR="009D5D54" w:rsidRPr="002A058E" w:rsidRDefault="009D5D54" w:rsidP="009D5D54">
      <w:pPr>
        <w:spacing w:line="23" w:lineRule="atLeast"/>
        <w:outlineLvl w:val="0"/>
        <w:rPr>
          <w:rFonts w:ascii="Garamond" w:hAnsi="Garamond"/>
          <w:bCs/>
          <w:sz w:val="18"/>
          <w:szCs w:val="18"/>
        </w:rPr>
      </w:pPr>
      <w:r w:rsidRPr="002A058E">
        <w:rPr>
          <w:rFonts w:ascii="Garamond" w:hAnsi="Garamond"/>
          <w:bCs/>
          <w:sz w:val="18"/>
          <w:szCs w:val="18"/>
        </w:rPr>
        <w:t>Source: Refinitiv</w:t>
      </w:r>
    </w:p>
    <w:p w:rsidR="009D5D54" w:rsidRPr="002A058E" w:rsidRDefault="009D5D54" w:rsidP="009D5D54">
      <w:pPr>
        <w:spacing w:after="240" w:line="23" w:lineRule="atLeast"/>
        <w:jc w:val="both"/>
        <w:rPr>
          <w:rFonts w:ascii="Garamond" w:eastAsia="Times New Roman" w:hAnsi="Garamond"/>
          <w:bCs/>
          <w:sz w:val="18"/>
          <w:szCs w:val="18"/>
          <w:lang w:eastAsia="en-GB"/>
        </w:rPr>
      </w:pPr>
    </w:p>
    <w:p w:rsidR="009D5D54" w:rsidRPr="002A058E" w:rsidRDefault="009D5D54" w:rsidP="009D5D54">
      <w:pPr>
        <w:spacing w:after="240" w:line="23" w:lineRule="atLeast"/>
        <w:jc w:val="both"/>
        <w:rPr>
          <w:rFonts w:ascii="Garamond" w:eastAsia="Times New Roman" w:hAnsi="Garamond"/>
          <w:bCs/>
          <w:sz w:val="18"/>
          <w:szCs w:val="18"/>
          <w:lang w:eastAsia="en-GB"/>
        </w:rPr>
      </w:pPr>
    </w:p>
    <w:p w:rsidR="009D5D54" w:rsidRPr="002A058E" w:rsidRDefault="009D5D54" w:rsidP="009D5D54">
      <w:pPr>
        <w:rPr>
          <w:rFonts w:ascii="Garamond" w:hAnsi="Garamond"/>
          <w:b/>
          <w:bCs/>
          <w:szCs w:val="22"/>
        </w:rPr>
      </w:pPr>
    </w:p>
    <w:p w:rsidR="009D5D54" w:rsidRPr="00073FE2" w:rsidRDefault="009D5D54" w:rsidP="009D5D54">
      <w:pPr>
        <w:rPr>
          <w:rFonts w:ascii="Garamond" w:hAnsi="Garamond"/>
          <w:b/>
          <w:bCs/>
          <w:strike/>
          <w:szCs w:val="22"/>
        </w:rPr>
        <w:sectPr w:rsidR="009D5D54" w:rsidRPr="00073FE2" w:rsidSect="00332F86">
          <w:headerReference w:type="even" r:id="rId42"/>
          <w:headerReference w:type="default" r:id="rId43"/>
          <w:footerReference w:type="even" r:id="rId44"/>
          <w:footerReference w:type="default" r:id="rId45"/>
          <w:pgSz w:w="11906" w:h="16838" w:code="9"/>
          <w:pgMar w:top="578" w:right="1009" w:bottom="578" w:left="1009" w:header="431" w:footer="431" w:gutter="0"/>
          <w:cols w:space="720"/>
          <w:docGrid w:linePitch="360"/>
        </w:sectPr>
      </w:pPr>
    </w:p>
    <w:p w:rsidR="009D5D54" w:rsidRPr="001972CA" w:rsidRDefault="009D5D54" w:rsidP="009D5D54">
      <w:pPr>
        <w:rPr>
          <w:rFonts w:ascii="Garamond" w:hAnsi="Garamond"/>
          <w:b/>
          <w:bCs/>
          <w:szCs w:val="22"/>
        </w:rPr>
      </w:pPr>
      <w:r w:rsidRPr="001972CA">
        <w:rPr>
          <w:rFonts w:ascii="Garamond" w:hAnsi="Garamond"/>
          <w:b/>
          <w:bCs/>
          <w:szCs w:val="22"/>
        </w:rPr>
        <w:lastRenderedPageBreak/>
        <w:t>Table A1: Performance of Stock Indices</w:t>
      </w:r>
    </w:p>
    <w:tbl>
      <w:tblPr>
        <w:tblW w:w="4618" w:type="pct"/>
        <w:tblLook w:val="04A0" w:firstRow="1" w:lastRow="0" w:firstColumn="1" w:lastColumn="0" w:noHBand="0" w:noVBand="1"/>
      </w:tblPr>
      <w:tblGrid>
        <w:gridCol w:w="1472"/>
        <w:gridCol w:w="3035"/>
        <w:gridCol w:w="2303"/>
        <w:gridCol w:w="1779"/>
        <w:gridCol w:w="1160"/>
        <w:gridCol w:w="1160"/>
        <w:gridCol w:w="1120"/>
        <w:gridCol w:w="1606"/>
        <w:gridCol w:w="830"/>
      </w:tblGrid>
      <w:tr w:rsidR="009D5D54" w:rsidRPr="00BE18D1" w:rsidTr="00D73337">
        <w:trPr>
          <w:trHeight w:val="138"/>
        </w:trPr>
        <w:tc>
          <w:tcPr>
            <w:tcW w:w="509"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Country</w:t>
            </w:r>
          </w:p>
        </w:tc>
        <w:tc>
          <w:tcPr>
            <w:tcW w:w="1049"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Name of the Index</w:t>
            </w:r>
          </w:p>
        </w:tc>
        <w:tc>
          <w:tcPr>
            <w:tcW w:w="796" w:type="pct"/>
            <w:tcBorders>
              <w:top w:val="single" w:sz="8" w:space="0" w:color="auto"/>
              <w:left w:val="nil"/>
              <w:bottom w:val="nil"/>
              <w:right w:val="single" w:sz="8" w:space="0" w:color="auto"/>
            </w:tcBorders>
            <w:shd w:val="clear" w:color="000000" w:fill="B4C6E7"/>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Closing Value as on</w:t>
            </w:r>
          </w:p>
        </w:tc>
        <w:tc>
          <w:tcPr>
            <w:tcW w:w="1804" w:type="pct"/>
            <w:gridSpan w:val="4"/>
            <w:tcBorders>
              <w:top w:val="single" w:sz="8" w:space="0" w:color="auto"/>
              <w:left w:val="nil"/>
              <w:bottom w:val="single" w:sz="8" w:space="0" w:color="auto"/>
              <w:right w:val="single" w:sz="8" w:space="0" w:color="000000"/>
            </w:tcBorders>
            <w:shd w:val="clear" w:color="000000" w:fill="B4C6E7"/>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Closing Value before</w:t>
            </w:r>
          </w:p>
        </w:tc>
        <w:tc>
          <w:tcPr>
            <w:tcW w:w="555"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Monthly Volatility (Annualised)</w:t>
            </w:r>
          </w:p>
        </w:tc>
        <w:tc>
          <w:tcPr>
            <w:tcW w:w="287" w:type="pct"/>
            <w:vMerge w:val="restart"/>
            <w:tcBorders>
              <w:top w:val="single" w:sz="8" w:space="0" w:color="auto"/>
              <w:left w:val="single" w:sz="8" w:space="0" w:color="auto"/>
              <w:bottom w:val="single" w:sz="8" w:space="0" w:color="000000"/>
              <w:right w:val="single" w:sz="8" w:space="0" w:color="auto"/>
            </w:tcBorders>
            <w:shd w:val="clear" w:color="000000" w:fill="B4C6E7"/>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P/E Ratio</w:t>
            </w:r>
          </w:p>
        </w:tc>
      </w:tr>
      <w:tr w:rsidR="009D5D54" w:rsidRPr="00BE18D1" w:rsidTr="00D73337">
        <w:trPr>
          <w:trHeight w:val="211"/>
        </w:trPr>
        <w:tc>
          <w:tcPr>
            <w:tcW w:w="509" w:type="pct"/>
            <w:vMerge/>
            <w:tcBorders>
              <w:top w:val="single" w:sz="8" w:space="0" w:color="auto"/>
              <w:left w:val="single" w:sz="8" w:space="0" w:color="auto"/>
              <w:bottom w:val="single" w:sz="8" w:space="0" w:color="000000"/>
              <w:right w:val="single" w:sz="8" w:space="0" w:color="auto"/>
            </w:tcBorders>
            <w:vAlign w:val="center"/>
            <w:hideMark/>
          </w:tcPr>
          <w:p w:rsidR="009D5D54" w:rsidRPr="00BE18D1" w:rsidRDefault="009D5D54" w:rsidP="00D73337">
            <w:pPr>
              <w:rPr>
                <w:rFonts w:ascii="Garamond" w:eastAsia="Times New Roman" w:hAnsi="Garamond" w:cs="Calibri"/>
                <w:b/>
                <w:bCs/>
                <w:color w:val="000000"/>
                <w:sz w:val="20"/>
                <w:szCs w:val="20"/>
                <w:lang w:val="en-IN" w:eastAsia="en-IN" w:bidi="hi-IN"/>
              </w:rPr>
            </w:pPr>
          </w:p>
        </w:tc>
        <w:tc>
          <w:tcPr>
            <w:tcW w:w="1049" w:type="pct"/>
            <w:vMerge/>
            <w:tcBorders>
              <w:top w:val="single" w:sz="8" w:space="0" w:color="auto"/>
              <w:left w:val="single" w:sz="8" w:space="0" w:color="auto"/>
              <w:bottom w:val="single" w:sz="8" w:space="0" w:color="000000"/>
              <w:right w:val="single" w:sz="8" w:space="0" w:color="auto"/>
            </w:tcBorders>
            <w:vAlign w:val="center"/>
            <w:hideMark/>
          </w:tcPr>
          <w:p w:rsidR="009D5D54" w:rsidRPr="00BE18D1" w:rsidRDefault="009D5D54" w:rsidP="00D73337">
            <w:pPr>
              <w:rPr>
                <w:rFonts w:ascii="Garamond" w:eastAsia="Times New Roman" w:hAnsi="Garamond" w:cs="Calibri"/>
                <w:b/>
                <w:bCs/>
                <w:color w:val="000000"/>
                <w:sz w:val="20"/>
                <w:szCs w:val="20"/>
                <w:lang w:val="en-IN" w:eastAsia="en-IN" w:bidi="hi-IN"/>
              </w:rPr>
            </w:pPr>
          </w:p>
        </w:tc>
        <w:tc>
          <w:tcPr>
            <w:tcW w:w="796" w:type="pct"/>
            <w:tcBorders>
              <w:top w:val="nil"/>
              <w:left w:val="nil"/>
              <w:bottom w:val="single" w:sz="8" w:space="0" w:color="auto"/>
              <w:right w:val="single" w:sz="8" w:space="0" w:color="auto"/>
            </w:tcBorders>
            <w:shd w:val="clear" w:color="000000" w:fill="B4C6E7"/>
            <w:noWrap/>
            <w:hideMark/>
          </w:tcPr>
          <w:p w:rsidR="009D5D54" w:rsidRPr="001F7CD5" w:rsidRDefault="009D5D54" w:rsidP="00D73337">
            <w:pPr>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31-Jul</w:t>
            </w:r>
            <w:r w:rsidRPr="001F7CD5">
              <w:rPr>
                <w:rFonts w:ascii="Garamond" w:eastAsia="Times New Roman" w:hAnsi="Garamond" w:cs="Calibri"/>
                <w:b/>
                <w:bCs/>
                <w:color w:val="000000"/>
                <w:sz w:val="20"/>
                <w:szCs w:val="20"/>
                <w:lang w:val="en-IN" w:eastAsia="en-IN" w:bidi="hi-IN"/>
              </w:rPr>
              <w:t>-21</w:t>
            </w:r>
          </w:p>
        </w:tc>
        <w:tc>
          <w:tcPr>
            <w:tcW w:w="615" w:type="pct"/>
            <w:tcBorders>
              <w:top w:val="nil"/>
              <w:left w:val="nil"/>
              <w:bottom w:val="single" w:sz="8" w:space="0" w:color="auto"/>
              <w:right w:val="single" w:sz="8" w:space="0" w:color="auto"/>
            </w:tcBorders>
            <w:shd w:val="clear" w:color="000000" w:fill="B4C6E7"/>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1-Month</w:t>
            </w:r>
          </w:p>
        </w:tc>
        <w:tc>
          <w:tcPr>
            <w:tcW w:w="401" w:type="pct"/>
            <w:tcBorders>
              <w:top w:val="nil"/>
              <w:left w:val="nil"/>
              <w:bottom w:val="single" w:sz="8" w:space="0" w:color="auto"/>
              <w:right w:val="single" w:sz="8" w:space="0" w:color="auto"/>
            </w:tcBorders>
            <w:shd w:val="clear" w:color="000000" w:fill="B4C6E7"/>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3-Month</w:t>
            </w:r>
          </w:p>
        </w:tc>
        <w:tc>
          <w:tcPr>
            <w:tcW w:w="401" w:type="pct"/>
            <w:tcBorders>
              <w:top w:val="nil"/>
              <w:left w:val="nil"/>
              <w:bottom w:val="single" w:sz="8" w:space="0" w:color="auto"/>
              <w:right w:val="single" w:sz="8" w:space="0" w:color="auto"/>
            </w:tcBorders>
            <w:shd w:val="clear" w:color="000000" w:fill="B4C6E7"/>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6-Month</w:t>
            </w:r>
          </w:p>
        </w:tc>
        <w:tc>
          <w:tcPr>
            <w:tcW w:w="387" w:type="pct"/>
            <w:tcBorders>
              <w:top w:val="nil"/>
              <w:left w:val="nil"/>
              <w:bottom w:val="single" w:sz="8" w:space="0" w:color="auto"/>
              <w:right w:val="single" w:sz="8" w:space="0" w:color="auto"/>
            </w:tcBorders>
            <w:shd w:val="clear" w:color="000000" w:fill="B4C6E7"/>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1-Year</w:t>
            </w:r>
          </w:p>
        </w:tc>
        <w:tc>
          <w:tcPr>
            <w:tcW w:w="555" w:type="pct"/>
            <w:vMerge/>
            <w:tcBorders>
              <w:top w:val="single" w:sz="8" w:space="0" w:color="auto"/>
              <w:left w:val="single" w:sz="8" w:space="0" w:color="auto"/>
              <w:bottom w:val="single" w:sz="8" w:space="0" w:color="000000"/>
              <w:right w:val="single" w:sz="8" w:space="0" w:color="auto"/>
            </w:tcBorders>
            <w:vAlign w:val="center"/>
            <w:hideMark/>
          </w:tcPr>
          <w:p w:rsidR="009D5D54" w:rsidRPr="00BE18D1" w:rsidRDefault="009D5D54" w:rsidP="00D73337">
            <w:pPr>
              <w:rPr>
                <w:rFonts w:ascii="Garamond" w:eastAsia="Times New Roman" w:hAnsi="Garamond" w:cs="Calibri"/>
                <w:b/>
                <w:bCs/>
                <w:color w:val="000000"/>
                <w:sz w:val="20"/>
                <w:szCs w:val="20"/>
                <w:lang w:val="en-IN" w:eastAsia="en-IN" w:bidi="hi-IN"/>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rsidR="009D5D54" w:rsidRPr="00BE18D1" w:rsidRDefault="009D5D54" w:rsidP="00D73337">
            <w:pPr>
              <w:rPr>
                <w:rFonts w:ascii="Garamond" w:eastAsia="Times New Roman" w:hAnsi="Garamond" w:cs="Calibri"/>
                <w:b/>
                <w:bCs/>
                <w:color w:val="000000"/>
                <w:sz w:val="20"/>
                <w:szCs w:val="20"/>
                <w:lang w:val="en-IN" w:eastAsia="en-IN" w:bidi="hi-IN"/>
              </w:rPr>
            </w:pPr>
          </w:p>
        </w:tc>
      </w:tr>
      <w:tr w:rsidR="009D5D54" w:rsidRPr="00BE18D1" w:rsidTr="00D73337">
        <w:trPr>
          <w:trHeight w:val="138"/>
        </w:trPr>
        <w:tc>
          <w:tcPr>
            <w:tcW w:w="5000" w:type="pct"/>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BRICS Nations</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Brazil</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BRAZIL IBOVESPA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121800.8</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126801.7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118893.8</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115067.6</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102912.2</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18.6</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11.3</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Russia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RUSSIAN TRADED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2123.0</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2161.7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1919.7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1776.2</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1618.1</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22.0</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11.5</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India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Nifty 50</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15763.1</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15721.5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14631.1</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13634.6</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11073.5</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8.8</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27.0</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India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S&amp;P BSE SENSEX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52586.8</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52482.7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48782.4</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46285.8</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37606.9</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8.9</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30.7</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China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SHANGHAI SE COMPOSITE</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3397.4</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3591.2</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3446.9</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3483.1</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3310.0</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16.3</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11.7</w:t>
            </w:r>
          </w:p>
        </w:tc>
      </w:tr>
      <w:tr w:rsidR="009D5D54" w:rsidRPr="00BE18D1" w:rsidTr="00D73337">
        <w:trPr>
          <w:trHeight w:val="138"/>
        </w:trPr>
        <w:tc>
          <w:tcPr>
            <w:tcW w:w="509" w:type="pct"/>
            <w:tcBorders>
              <w:top w:val="nil"/>
              <w:left w:val="single" w:sz="8" w:space="0" w:color="auto"/>
              <w:bottom w:val="single" w:sz="8" w:space="0" w:color="auto"/>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South Africa</w:t>
            </w:r>
          </w:p>
        </w:tc>
        <w:tc>
          <w:tcPr>
            <w:tcW w:w="1049" w:type="pct"/>
            <w:tcBorders>
              <w:top w:val="nil"/>
              <w:left w:val="nil"/>
              <w:bottom w:val="single" w:sz="8" w:space="0" w:color="auto"/>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FTSE/JSE AFRICA ALL SHR</w:t>
            </w:r>
          </w:p>
        </w:tc>
        <w:tc>
          <w:tcPr>
            <w:tcW w:w="796"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68970.8</w:t>
            </w:r>
          </w:p>
        </w:tc>
        <w:tc>
          <w:tcPr>
            <w:tcW w:w="615"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66248.7</w:t>
            </w:r>
          </w:p>
        </w:tc>
        <w:tc>
          <w:tcPr>
            <w:tcW w:w="401"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66937.0</w:t>
            </w:r>
          </w:p>
        </w:tc>
        <w:tc>
          <w:tcPr>
            <w:tcW w:w="401"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62472.1</w:t>
            </w:r>
          </w:p>
        </w:tc>
        <w:tc>
          <w:tcPr>
            <w:tcW w:w="387"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55721.8</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21.8</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13.3</w:t>
            </w:r>
          </w:p>
        </w:tc>
      </w:tr>
      <w:tr w:rsidR="009D5D54" w:rsidRPr="00BE18D1" w:rsidTr="00D73337">
        <w:trPr>
          <w:trHeight w:val="138"/>
        </w:trPr>
        <w:tc>
          <w:tcPr>
            <w:tcW w:w="5000" w:type="pct"/>
            <w:gridSpan w:val="9"/>
            <w:tcBorders>
              <w:top w:val="single" w:sz="8" w:space="0" w:color="auto"/>
              <w:left w:val="single" w:sz="8" w:space="0" w:color="auto"/>
              <w:bottom w:val="single" w:sz="8" w:space="0" w:color="auto"/>
              <w:right w:val="single" w:sz="8" w:space="0" w:color="000000"/>
            </w:tcBorders>
            <w:shd w:val="clear" w:color="000000" w:fill="D9E1F2"/>
            <w:hideMark/>
          </w:tcPr>
          <w:p w:rsidR="009D5D54" w:rsidRPr="00BE18D1" w:rsidRDefault="009D5D54" w:rsidP="00D73337">
            <w:pPr>
              <w:jc w:val="center"/>
              <w:rPr>
                <w:rFonts w:ascii="Garamond" w:eastAsia="Times New Roman" w:hAnsi="Garamond" w:cs="Calibri"/>
                <w:b/>
                <w:bCs/>
                <w:color w:val="000000"/>
                <w:sz w:val="20"/>
                <w:szCs w:val="20"/>
                <w:lang w:val="en-IN" w:eastAsia="en-IN" w:bidi="hi-IN"/>
              </w:rPr>
            </w:pPr>
            <w:r w:rsidRPr="00BE18D1">
              <w:rPr>
                <w:rFonts w:ascii="Garamond" w:eastAsia="Times New Roman" w:hAnsi="Garamond" w:cs="Calibri"/>
                <w:b/>
                <w:bCs/>
                <w:color w:val="000000"/>
                <w:sz w:val="20"/>
                <w:szCs w:val="20"/>
                <w:lang w:val="en-IN" w:eastAsia="en-IN" w:bidi="hi-IN"/>
              </w:rPr>
              <w:t>Developed Markets</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USA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NASDAQ COMPOSITE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14672.7</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14504.0</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13962.7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13070.7</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10745.3</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21.3</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NA</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USA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DOW JONES INDUS. AVG</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34935.5</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34502.5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33874.9</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29982.6</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26428.3</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12.1</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20.3</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France</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CAC 40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6612.8</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6507.8</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6269.5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5399.2</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4783.7</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17.9</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24.8</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Germany</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DAX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15544.4</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15531.0</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15135.9</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13432.9</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12313.4</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16.3</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16.8</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UK</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FTSE 100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7032.3</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7037.5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6969.8</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6407.5</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5897.8</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15.5</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15.9</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Hong Kong</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HANG SENG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25961.0</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28828.0</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28724.9</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28283.7</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24595.4</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28.9</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13.9</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South Korea</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KOSPI </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3202.3</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3296.7</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3147.9</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2976.2</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2249.4</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13.3</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NA</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Japan</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NIKKEI 225</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27283.6</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28791.5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28812.6</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27663.4</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21710.0</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14.8</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15.4</w:t>
            </w:r>
          </w:p>
        </w:tc>
      </w:tr>
      <w:tr w:rsidR="009D5D54" w:rsidRPr="00BE18D1" w:rsidTr="00D73337">
        <w:trPr>
          <w:trHeight w:val="131"/>
        </w:trPr>
        <w:tc>
          <w:tcPr>
            <w:tcW w:w="509" w:type="pct"/>
            <w:tcBorders>
              <w:top w:val="nil"/>
              <w:left w:val="single" w:sz="8" w:space="0" w:color="auto"/>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Singapore</w:t>
            </w:r>
          </w:p>
        </w:tc>
        <w:tc>
          <w:tcPr>
            <w:tcW w:w="1049" w:type="pct"/>
            <w:tcBorders>
              <w:top w:val="nil"/>
              <w:left w:val="nil"/>
              <w:bottom w:val="nil"/>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STRAITS TIMES  STI</w:t>
            </w:r>
          </w:p>
        </w:tc>
        <w:tc>
          <w:tcPr>
            <w:tcW w:w="796"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3166.9</w:t>
            </w:r>
          </w:p>
        </w:tc>
        <w:tc>
          <w:tcPr>
            <w:tcW w:w="61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3130.5</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3218.3</w:t>
            </w:r>
          </w:p>
        </w:tc>
        <w:tc>
          <w:tcPr>
            <w:tcW w:w="401"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2902.5</w:t>
            </w:r>
          </w:p>
        </w:tc>
        <w:tc>
          <w:tcPr>
            <w:tcW w:w="3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2529.8</w:t>
            </w:r>
          </w:p>
        </w:tc>
        <w:tc>
          <w:tcPr>
            <w:tcW w:w="555"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13.1</w:t>
            </w:r>
          </w:p>
        </w:tc>
        <w:tc>
          <w:tcPr>
            <w:tcW w:w="287" w:type="pct"/>
            <w:tcBorders>
              <w:top w:val="nil"/>
              <w:left w:val="nil"/>
              <w:bottom w:val="nil"/>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14.4</w:t>
            </w:r>
          </w:p>
        </w:tc>
      </w:tr>
      <w:tr w:rsidR="009D5D54" w:rsidRPr="00BE18D1" w:rsidTr="00D73337">
        <w:trPr>
          <w:trHeight w:val="138"/>
        </w:trPr>
        <w:tc>
          <w:tcPr>
            <w:tcW w:w="509" w:type="pct"/>
            <w:tcBorders>
              <w:top w:val="nil"/>
              <w:left w:val="single" w:sz="8" w:space="0" w:color="auto"/>
              <w:bottom w:val="single" w:sz="8" w:space="0" w:color="auto"/>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20"/>
                <w:szCs w:val="20"/>
                <w:lang w:val="en-IN" w:eastAsia="en-IN" w:bidi="hi-IN"/>
              </w:rPr>
            </w:pPr>
            <w:r w:rsidRPr="00BE18D1">
              <w:rPr>
                <w:rFonts w:ascii="Garamond" w:eastAsia="Times New Roman" w:hAnsi="Garamond" w:cs="Calibri"/>
                <w:color w:val="000000"/>
                <w:sz w:val="20"/>
                <w:szCs w:val="20"/>
                <w:lang w:val="en-IN" w:eastAsia="en-IN" w:bidi="hi-IN"/>
              </w:rPr>
              <w:t>Taiwan</w:t>
            </w:r>
          </w:p>
        </w:tc>
        <w:tc>
          <w:tcPr>
            <w:tcW w:w="1049" w:type="pct"/>
            <w:tcBorders>
              <w:top w:val="nil"/>
              <w:left w:val="nil"/>
              <w:bottom w:val="single" w:sz="8" w:space="0" w:color="auto"/>
              <w:right w:val="single" w:sz="8" w:space="0" w:color="auto"/>
            </w:tcBorders>
            <w:shd w:val="clear" w:color="000000" w:fill="D9E1F2"/>
            <w:noWrap/>
            <w:hideMark/>
          </w:tcPr>
          <w:p w:rsidR="009D5D54" w:rsidRPr="00BE18D1" w:rsidRDefault="009D5D54" w:rsidP="00D73337">
            <w:pPr>
              <w:rPr>
                <w:rFonts w:ascii="Garamond" w:eastAsia="Times New Roman" w:hAnsi="Garamond" w:cs="Calibri"/>
                <w:color w:val="000000"/>
                <w:sz w:val="18"/>
                <w:szCs w:val="18"/>
                <w:lang w:val="en-IN" w:eastAsia="en-IN" w:bidi="hi-IN"/>
              </w:rPr>
            </w:pPr>
            <w:r w:rsidRPr="00BE18D1">
              <w:rPr>
                <w:rFonts w:ascii="Garamond" w:eastAsia="Times New Roman" w:hAnsi="Garamond" w:cs="Calibri"/>
                <w:color w:val="000000"/>
                <w:sz w:val="18"/>
                <w:szCs w:val="18"/>
                <w:lang w:val="en-IN" w:eastAsia="en-IN" w:bidi="hi-IN"/>
              </w:rPr>
              <w:t xml:space="preserve">TAIWAN TAIEX </w:t>
            </w:r>
          </w:p>
        </w:tc>
        <w:tc>
          <w:tcPr>
            <w:tcW w:w="796"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17247.4</w:t>
            </w:r>
          </w:p>
        </w:tc>
        <w:tc>
          <w:tcPr>
            <w:tcW w:w="615"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17755.5</w:t>
            </w:r>
          </w:p>
        </w:tc>
        <w:tc>
          <w:tcPr>
            <w:tcW w:w="401"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17566.7</w:t>
            </w:r>
          </w:p>
        </w:tc>
        <w:tc>
          <w:tcPr>
            <w:tcW w:w="401"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15138.3</w:t>
            </w:r>
          </w:p>
        </w:tc>
        <w:tc>
          <w:tcPr>
            <w:tcW w:w="387"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12664.8</w:t>
            </w:r>
          </w:p>
        </w:tc>
        <w:tc>
          <w:tcPr>
            <w:tcW w:w="555"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17.8</w:t>
            </w:r>
          </w:p>
        </w:tc>
        <w:tc>
          <w:tcPr>
            <w:tcW w:w="287" w:type="pct"/>
            <w:tcBorders>
              <w:top w:val="nil"/>
              <w:left w:val="nil"/>
              <w:bottom w:val="single" w:sz="8" w:space="0" w:color="auto"/>
              <w:right w:val="single" w:sz="8" w:space="0" w:color="auto"/>
            </w:tcBorders>
            <w:shd w:val="clear" w:color="auto" w:fill="auto"/>
            <w:noWrap/>
            <w:hideMark/>
          </w:tcPr>
          <w:p w:rsidR="009D5D54" w:rsidRPr="00BE18D1" w:rsidRDefault="009D5D54" w:rsidP="00D73337">
            <w:pPr>
              <w:ind w:firstLineChars="100" w:firstLine="200"/>
              <w:jc w:val="right"/>
              <w:rPr>
                <w:rFonts w:ascii="Garamond" w:eastAsia="Times New Roman" w:hAnsi="Garamond" w:cs="Calibri"/>
                <w:sz w:val="20"/>
                <w:szCs w:val="20"/>
                <w:lang w:val="en-IN" w:eastAsia="en-IN" w:bidi="hi-IN"/>
              </w:rPr>
            </w:pPr>
            <w:r w:rsidRPr="00BE18D1">
              <w:rPr>
                <w:rFonts w:ascii="Garamond" w:eastAsia="Times New Roman" w:hAnsi="Garamond" w:cs="Calibri"/>
                <w:sz w:val="20"/>
                <w:szCs w:val="20"/>
                <w:lang w:val="en-IN" w:eastAsia="en-IN" w:bidi="hi-IN"/>
              </w:rPr>
              <w:t>17.3</w:t>
            </w:r>
          </w:p>
        </w:tc>
      </w:tr>
    </w:tbl>
    <w:p w:rsidR="009D5D54" w:rsidRDefault="009D5D54" w:rsidP="009D5D54">
      <w:pPr>
        <w:spacing w:line="23" w:lineRule="atLeast"/>
        <w:jc w:val="both"/>
        <w:rPr>
          <w:rFonts w:ascii="Garamond" w:hAnsi="Garamond"/>
          <w:bCs/>
          <w:sz w:val="18"/>
          <w:szCs w:val="18"/>
        </w:rPr>
      </w:pPr>
    </w:p>
    <w:p w:rsidR="009D5D54" w:rsidRPr="001972CA" w:rsidRDefault="009D5D54" w:rsidP="009D5D54">
      <w:pPr>
        <w:spacing w:line="23" w:lineRule="atLeast"/>
        <w:jc w:val="both"/>
        <w:rPr>
          <w:rFonts w:ascii="Garamond" w:hAnsi="Garamond"/>
          <w:bCs/>
          <w:sz w:val="18"/>
          <w:szCs w:val="18"/>
        </w:rPr>
      </w:pPr>
      <w:r w:rsidRPr="001972CA">
        <w:rPr>
          <w:rFonts w:ascii="Garamond" w:hAnsi="Garamond"/>
          <w:bCs/>
          <w:sz w:val="18"/>
          <w:szCs w:val="18"/>
        </w:rPr>
        <w:t xml:space="preserve"> Note: </w:t>
      </w:r>
      <w:r>
        <w:rPr>
          <w:rFonts w:ascii="Garamond" w:hAnsi="Garamond"/>
          <w:bCs/>
          <w:sz w:val="18"/>
          <w:szCs w:val="18"/>
        </w:rPr>
        <w:t xml:space="preserve">* </w:t>
      </w:r>
      <w:r w:rsidRPr="001972CA">
        <w:rPr>
          <w:rFonts w:ascii="Garamond" w:hAnsi="Garamond"/>
          <w:bCs/>
          <w:sz w:val="18"/>
          <w:szCs w:val="18"/>
        </w:rPr>
        <w:t xml:space="preserve">P/E Ratios as on the last trading day of month. Trailing PE ratio has been used from Refinitiv for all Indices apart from Sensex, Nifty 50, Kospi, Nikkei and Taiwan Taiex. Data for Sensex and Nifty was taken from respective exchange website. </w:t>
      </w:r>
      <w:r w:rsidRPr="005D4199">
        <w:rPr>
          <w:rFonts w:ascii="Garamond" w:hAnsi="Garamond"/>
          <w:bCs/>
          <w:sz w:val="18"/>
          <w:szCs w:val="18"/>
        </w:rPr>
        <w:t xml:space="preserve">Refinitiv </w:t>
      </w:r>
      <w:r w:rsidRPr="001972CA">
        <w:rPr>
          <w:rFonts w:ascii="Garamond" w:hAnsi="Garamond"/>
          <w:bCs/>
          <w:sz w:val="18"/>
          <w:szCs w:val="18"/>
        </w:rPr>
        <w:t xml:space="preserve">data is as on </w:t>
      </w:r>
      <w:r>
        <w:rPr>
          <w:rFonts w:ascii="Garamond" w:hAnsi="Garamond"/>
          <w:bCs/>
          <w:sz w:val="18"/>
          <w:szCs w:val="18"/>
          <w:lang w:val="en-US"/>
        </w:rPr>
        <w:t xml:space="preserve">23 August </w:t>
      </w:r>
      <w:r w:rsidRPr="001972CA">
        <w:rPr>
          <w:rFonts w:ascii="Garamond" w:hAnsi="Garamond"/>
          <w:bCs/>
          <w:sz w:val="18"/>
          <w:szCs w:val="18"/>
          <w:lang w:val="en-US"/>
        </w:rPr>
        <w:t>2021</w:t>
      </w:r>
      <w:r>
        <w:rPr>
          <w:rFonts w:ascii="Garamond" w:hAnsi="Garamond"/>
          <w:bCs/>
          <w:sz w:val="18"/>
          <w:szCs w:val="18"/>
          <w:lang w:val="en-US"/>
        </w:rPr>
        <w:t>.</w:t>
      </w:r>
    </w:p>
    <w:p w:rsidR="009D5D54" w:rsidRDefault="009D5D54" w:rsidP="009D5D54">
      <w:pPr>
        <w:spacing w:line="23" w:lineRule="atLeast"/>
        <w:jc w:val="both"/>
        <w:rPr>
          <w:rFonts w:ascii="Garamond" w:hAnsi="Garamond"/>
          <w:bCs/>
          <w:sz w:val="18"/>
          <w:szCs w:val="18"/>
        </w:rPr>
      </w:pPr>
      <w:r w:rsidRPr="001972CA">
        <w:rPr>
          <w:rFonts w:ascii="Garamond" w:hAnsi="Garamond"/>
          <w:bCs/>
          <w:sz w:val="18"/>
          <w:szCs w:val="18"/>
        </w:rPr>
        <w:t xml:space="preserve">Source: Refinitiv, BSE and National Stock Exchange </w:t>
      </w:r>
    </w:p>
    <w:p w:rsidR="009D5D54" w:rsidRPr="00073FE2" w:rsidRDefault="009D5D54" w:rsidP="009D5D54">
      <w:pPr>
        <w:spacing w:line="23" w:lineRule="atLeast"/>
        <w:rPr>
          <w:rFonts w:ascii="Garamond" w:hAnsi="Garamond"/>
          <w:b/>
          <w:bCs/>
          <w:strike/>
          <w:szCs w:val="22"/>
        </w:rPr>
        <w:sectPr w:rsidR="009D5D54" w:rsidRPr="00073FE2" w:rsidSect="00D73337">
          <w:pgSz w:w="16838" w:h="11906" w:orient="landscape" w:code="9"/>
          <w:pgMar w:top="1009" w:right="578" w:bottom="1009" w:left="578" w:header="431" w:footer="431" w:gutter="0"/>
          <w:cols w:space="720"/>
          <w:docGrid w:linePitch="360"/>
        </w:sectPr>
      </w:pPr>
    </w:p>
    <w:p w:rsidR="009D5D54" w:rsidRPr="00E25198" w:rsidRDefault="009D5D54" w:rsidP="009D5D54">
      <w:pPr>
        <w:spacing w:line="23" w:lineRule="atLeast"/>
        <w:jc w:val="both"/>
        <w:rPr>
          <w:rFonts w:ascii="Garamond" w:hAnsi="Garamond"/>
          <w:b/>
          <w:bCs/>
          <w:szCs w:val="22"/>
        </w:rPr>
      </w:pPr>
    </w:p>
    <w:p w:rsidR="009D5D54" w:rsidRPr="00E25198" w:rsidRDefault="009D5D54" w:rsidP="009D5D54">
      <w:pPr>
        <w:spacing w:line="23" w:lineRule="atLeast"/>
        <w:jc w:val="both"/>
        <w:rPr>
          <w:rFonts w:ascii="Garamond" w:hAnsi="Garamond"/>
          <w:b/>
          <w:bCs/>
          <w:szCs w:val="22"/>
        </w:rPr>
      </w:pPr>
      <w:r w:rsidRPr="00E25198">
        <w:rPr>
          <w:rFonts w:ascii="Garamond" w:hAnsi="Garamond"/>
          <w:b/>
          <w:bCs/>
          <w:szCs w:val="22"/>
        </w:rPr>
        <w:t>Table A2: Fund Mobilisation by Issuance of Equity and Bond in Major Exchanges (USD million)</w:t>
      </w:r>
    </w:p>
    <w:tbl>
      <w:tblPr>
        <w:tblW w:w="10013" w:type="dxa"/>
        <w:tblInd w:w="118" w:type="dxa"/>
        <w:tblLook w:val="04A0" w:firstRow="1" w:lastRow="0" w:firstColumn="1" w:lastColumn="0" w:noHBand="0" w:noVBand="1"/>
      </w:tblPr>
      <w:tblGrid>
        <w:gridCol w:w="3509"/>
        <w:gridCol w:w="1084"/>
        <w:gridCol w:w="1084"/>
        <w:gridCol w:w="1084"/>
        <w:gridCol w:w="1084"/>
        <w:gridCol w:w="1084"/>
        <w:gridCol w:w="1084"/>
      </w:tblGrid>
      <w:tr w:rsidR="009D5D54" w:rsidRPr="00AE7452" w:rsidTr="00D73337">
        <w:trPr>
          <w:trHeight w:val="272"/>
        </w:trPr>
        <w:tc>
          <w:tcPr>
            <w:tcW w:w="3509" w:type="dxa"/>
            <w:tcBorders>
              <w:top w:val="single" w:sz="8" w:space="0" w:color="auto"/>
              <w:left w:val="single" w:sz="8" w:space="0" w:color="auto"/>
              <w:bottom w:val="nil"/>
              <w:right w:val="single" w:sz="8"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Month</w:t>
            </w:r>
          </w:p>
        </w:tc>
        <w:tc>
          <w:tcPr>
            <w:tcW w:w="3252" w:type="dxa"/>
            <w:gridSpan w:val="3"/>
            <w:tcBorders>
              <w:top w:val="single" w:sz="8" w:space="0" w:color="auto"/>
              <w:left w:val="nil"/>
              <w:bottom w:val="nil"/>
              <w:right w:val="single" w:sz="8" w:space="0" w:color="000000"/>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May-21</w:t>
            </w:r>
          </w:p>
        </w:tc>
        <w:tc>
          <w:tcPr>
            <w:tcW w:w="3252" w:type="dxa"/>
            <w:gridSpan w:val="3"/>
            <w:tcBorders>
              <w:top w:val="single" w:sz="8" w:space="0" w:color="auto"/>
              <w:left w:val="nil"/>
              <w:bottom w:val="nil"/>
              <w:right w:val="single" w:sz="8" w:space="0" w:color="000000"/>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Jun-21</w:t>
            </w:r>
          </w:p>
        </w:tc>
      </w:tr>
      <w:tr w:rsidR="009D5D54" w:rsidRPr="00AE7452" w:rsidTr="00D73337">
        <w:trPr>
          <w:trHeight w:val="259"/>
        </w:trPr>
        <w:tc>
          <w:tcPr>
            <w:tcW w:w="3509"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Exchange Name</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Bond</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Equity</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Total</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Bond</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Equity</w:t>
            </w:r>
          </w:p>
        </w:tc>
        <w:tc>
          <w:tcPr>
            <w:tcW w:w="1084" w:type="dxa"/>
            <w:tcBorders>
              <w:top w:val="single" w:sz="4" w:space="0" w:color="auto"/>
              <w:left w:val="nil"/>
              <w:bottom w:val="single" w:sz="4" w:space="0" w:color="auto"/>
              <w:right w:val="single" w:sz="4" w:space="0" w:color="auto"/>
            </w:tcBorders>
            <w:shd w:val="clear" w:color="000000" w:fill="2F5496"/>
            <w:vAlign w:val="center"/>
            <w:hideMark/>
          </w:tcPr>
          <w:p w:rsidR="009D5D54" w:rsidRPr="00AE7452" w:rsidRDefault="009D5D54" w:rsidP="00D73337">
            <w:pPr>
              <w:jc w:val="center"/>
              <w:rPr>
                <w:rFonts w:ascii="Garamond" w:eastAsia="Times New Roman" w:hAnsi="Garamond" w:cs="Calibri"/>
                <w:b/>
                <w:bCs/>
                <w:color w:val="FFFFFF"/>
                <w:sz w:val="20"/>
                <w:szCs w:val="20"/>
                <w:lang w:val="en-IN" w:eastAsia="en-IN" w:bidi="hi-IN"/>
              </w:rPr>
            </w:pPr>
            <w:r w:rsidRPr="00AE7452">
              <w:rPr>
                <w:rFonts w:ascii="Garamond" w:eastAsia="Times New Roman" w:hAnsi="Garamond" w:cs="Calibri"/>
                <w:b/>
                <w:bCs/>
                <w:color w:val="FFFFFF"/>
                <w:sz w:val="20"/>
                <w:szCs w:val="20"/>
                <w:lang w:val="en-IN" w:eastAsia="en-IN" w:bidi="hi-IN"/>
              </w:rPr>
              <w:t>Total</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ASX Australian Securities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3,715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3,715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2,546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2,546</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Hong Kong Exchanges and Clearing</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7,370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7,555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14,925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20,666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8,431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29,097</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Japan Exchange Group</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2,201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806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3,007</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18,302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5,508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23,810</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Korea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58,461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1,028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59,489</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59,699</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59,804</w:t>
            </w:r>
          </w:p>
        </w:tc>
      </w:tr>
      <w:tr w:rsidR="009D5D54" w:rsidRPr="00AE7452" w:rsidTr="00D73337">
        <w:trPr>
          <w:trHeight w:val="259"/>
        </w:trPr>
        <w:tc>
          <w:tcPr>
            <w:tcW w:w="3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sz w:val="20"/>
                <w:szCs w:val="20"/>
                <w:lang w:val="en-IN" w:eastAsia="en-IN" w:bidi="hi-IN"/>
              </w:rPr>
            </w:pPr>
            <w:r w:rsidRPr="00AE7452">
              <w:rPr>
                <w:rFonts w:ascii="Garamond" w:eastAsia="Times New Roman" w:hAnsi="Garamond" w:cs="Calibri"/>
                <w:sz w:val="20"/>
                <w:szCs w:val="20"/>
                <w:lang w:val="en-IN" w:eastAsia="en-IN" w:bidi="hi-IN"/>
              </w:rPr>
              <w:t>National Stock Exchange of India</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50,123</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1,210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51,332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56,958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3,581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60,538</w:t>
            </w:r>
          </w:p>
        </w:tc>
      </w:tr>
      <w:tr w:rsidR="009D5D54" w:rsidRPr="00AE7452" w:rsidTr="00D73337">
        <w:trPr>
          <w:trHeight w:val="259"/>
        </w:trPr>
        <w:tc>
          <w:tcPr>
            <w:tcW w:w="3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sz w:val="20"/>
                <w:szCs w:val="20"/>
                <w:lang w:val="en-IN" w:eastAsia="en-IN" w:bidi="hi-IN"/>
              </w:rPr>
            </w:pPr>
            <w:r w:rsidRPr="00AE7452">
              <w:rPr>
                <w:rFonts w:ascii="Garamond" w:eastAsia="Times New Roman" w:hAnsi="Garamond" w:cs="Calibri"/>
                <w:sz w:val="20"/>
                <w:szCs w:val="20"/>
                <w:lang w:val="en-IN" w:eastAsia="en-IN" w:bidi="hi-IN"/>
              </w:rPr>
              <w:t>Shanghai Stock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47,423</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9,240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56,663</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66,160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12,508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78,668</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Shenzhen Stock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11,932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6,488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18,420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10,889</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6,758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17,647</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Singapore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18,247</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18,247</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27,084</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4,884</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31,968</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BME Spanish Exchanges</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34,303</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34,384</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46,822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1,670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48,492</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Deutsche Boerse AG</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1,135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1,135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1,061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1,061</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Euronext</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1,016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1,016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3,528</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3,528</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Johannesburg Stock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4,251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4,322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3,602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3,704</w:t>
            </w:r>
          </w:p>
        </w:tc>
      </w:tr>
      <w:tr w:rsidR="009D5D54" w:rsidRPr="00AE7452" w:rsidTr="00D73337">
        <w:trPr>
          <w:trHeight w:val="259"/>
        </w:trPr>
        <w:tc>
          <w:tcPr>
            <w:tcW w:w="35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sz w:val="20"/>
                <w:szCs w:val="20"/>
                <w:lang w:val="en-IN" w:eastAsia="en-IN" w:bidi="hi-IN"/>
              </w:rPr>
            </w:pPr>
            <w:r w:rsidRPr="00AE7452">
              <w:rPr>
                <w:rFonts w:ascii="Garamond" w:eastAsia="Times New Roman" w:hAnsi="Garamond" w:cs="Calibri"/>
                <w:sz w:val="20"/>
                <w:szCs w:val="20"/>
                <w:lang w:val="en-IN" w:eastAsia="en-IN" w:bidi="hi-IN"/>
              </w:rPr>
              <w:t>LSE Group London Stock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59,236</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3,851</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63,087</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81,385</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3,992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85,378</w:t>
            </w:r>
          </w:p>
        </w:tc>
      </w:tr>
      <w:tr w:rsidR="009D5D54" w:rsidRPr="00AE7452" w:rsidTr="00D73337">
        <w:trPr>
          <w:trHeight w:val="272"/>
        </w:trPr>
        <w:tc>
          <w:tcPr>
            <w:tcW w:w="3509" w:type="dxa"/>
            <w:tcBorders>
              <w:top w:val="nil"/>
              <w:left w:val="single" w:sz="4" w:space="0" w:color="auto"/>
              <w:bottom w:val="single" w:sz="4" w:space="0" w:color="auto"/>
              <w:right w:val="single" w:sz="4" w:space="0" w:color="auto"/>
            </w:tcBorders>
            <w:shd w:val="clear" w:color="auto" w:fill="auto"/>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Moscow Exchange</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13,753</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309</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14,062</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13,274</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084"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13,274</w:t>
            </w:r>
          </w:p>
        </w:tc>
      </w:tr>
      <w:tr w:rsidR="009D5D54" w:rsidRPr="00AE7452" w:rsidTr="00D73337">
        <w:trPr>
          <w:trHeight w:val="259"/>
        </w:trPr>
        <w:tc>
          <w:tcPr>
            <w:tcW w:w="3509" w:type="dxa"/>
            <w:tcBorders>
              <w:top w:val="nil"/>
              <w:left w:val="single" w:sz="4" w:space="0" w:color="auto"/>
              <w:bottom w:val="single" w:sz="4" w:space="0" w:color="auto"/>
              <w:right w:val="single" w:sz="4" w:space="0" w:color="auto"/>
            </w:tcBorders>
            <w:shd w:val="clear" w:color="000000" w:fill="BDD6EE"/>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Grand Total</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307,301</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36,505</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343,806</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404,840</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54,675</w:t>
            </w:r>
          </w:p>
        </w:tc>
        <w:tc>
          <w:tcPr>
            <w:tcW w:w="1084" w:type="dxa"/>
            <w:tcBorders>
              <w:top w:val="nil"/>
              <w:left w:val="nil"/>
              <w:bottom w:val="single" w:sz="4" w:space="0" w:color="auto"/>
              <w:right w:val="single" w:sz="4" w:space="0" w:color="auto"/>
            </w:tcBorders>
            <w:shd w:val="clear" w:color="000000" w:fill="BDD6EE"/>
            <w:vAlign w:val="center"/>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459,516</w:t>
            </w:r>
          </w:p>
        </w:tc>
      </w:tr>
    </w:tbl>
    <w:p w:rsidR="009D5D54" w:rsidRPr="00E25198" w:rsidRDefault="009D5D54" w:rsidP="009D5D54">
      <w:pPr>
        <w:jc w:val="both"/>
        <w:rPr>
          <w:rFonts w:ascii="Garamond" w:hAnsi="Garamond"/>
          <w:bCs/>
          <w:sz w:val="18"/>
          <w:szCs w:val="18"/>
        </w:rPr>
      </w:pPr>
      <w:r w:rsidRPr="00E25198">
        <w:rPr>
          <w:rFonts w:ascii="Garamond" w:hAnsi="Garamond"/>
          <w:bCs/>
          <w:sz w:val="18"/>
          <w:szCs w:val="18"/>
        </w:rPr>
        <w:t xml:space="preserve"> 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Australian Securities Exchange: including investment funds</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 xml:space="preserve">BME: Including investment companies listed (open-end investment companies). </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Euronext: includes Belgium, England, France, Netherlands and Portugal</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Korea Exchange: including Kosdaq market data</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LSE Group: includes London Stock Exchange and BorsaItaliana</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Nasdaq Nordic Exchanges include Copenhagen, Helsinki, Iceland, Stockholm, Tallinn, Riga and Vilnius Stock Exchanges</w:t>
      </w:r>
    </w:p>
    <w:p w:rsidR="009D5D54" w:rsidRPr="00E25198" w:rsidRDefault="009D5D54" w:rsidP="009D5D54">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NSE India: including “Emerge” market data</w:t>
      </w:r>
    </w:p>
    <w:p w:rsidR="009D5D54" w:rsidRPr="00E25198" w:rsidRDefault="009D5D54" w:rsidP="009D5D54">
      <w:pPr>
        <w:outlineLvl w:val="0"/>
        <w:rPr>
          <w:rFonts w:ascii="Garamond" w:hAnsi="Garamond"/>
          <w:bCs/>
          <w:sz w:val="18"/>
          <w:szCs w:val="18"/>
        </w:rPr>
      </w:pPr>
      <w:r w:rsidRPr="00E25198">
        <w:rPr>
          <w:rFonts w:ascii="Garamond" w:hAnsi="Garamond"/>
          <w:bCs/>
          <w:sz w:val="18"/>
          <w:szCs w:val="18"/>
        </w:rPr>
        <w:t>NA = Not Available</w:t>
      </w:r>
    </w:p>
    <w:p w:rsidR="009D5D54" w:rsidRPr="00E25198" w:rsidRDefault="009D5D54" w:rsidP="009D5D54">
      <w:pPr>
        <w:spacing w:line="23" w:lineRule="atLeast"/>
        <w:rPr>
          <w:rFonts w:ascii="Garamond" w:hAnsi="Garamond"/>
          <w:bCs/>
          <w:sz w:val="18"/>
          <w:szCs w:val="18"/>
        </w:rPr>
      </w:pPr>
      <w:r w:rsidRPr="00E25198">
        <w:rPr>
          <w:rFonts w:ascii="Garamond" w:hAnsi="Garamond"/>
          <w:bCs/>
          <w:sz w:val="18"/>
          <w:szCs w:val="18"/>
        </w:rPr>
        <w:t>Source: World Federation of Exchanges</w:t>
      </w:r>
    </w:p>
    <w:p w:rsidR="009D5D54" w:rsidRPr="00E25198" w:rsidRDefault="009D5D54" w:rsidP="009D5D54">
      <w:pPr>
        <w:rPr>
          <w:rFonts w:ascii="Garamond" w:hAnsi="Garamond"/>
          <w:bCs/>
          <w:sz w:val="22"/>
          <w:szCs w:val="22"/>
        </w:rPr>
      </w:pPr>
    </w:p>
    <w:p w:rsidR="009D5D54" w:rsidRPr="00E25198" w:rsidRDefault="009D5D54" w:rsidP="009D5D54">
      <w:pPr>
        <w:spacing w:line="23" w:lineRule="atLeast"/>
        <w:jc w:val="both"/>
        <w:outlineLvl w:val="0"/>
        <w:rPr>
          <w:rFonts w:ascii="Garamond" w:hAnsi="Garamond"/>
          <w:b/>
          <w:bCs/>
          <w:szCs w:val="22"/>
        </w:rPr>
      </w:pPr>
      <w:r w:rsidRPr="00E25198">
        <w:rPr>
          <w:rFonts w:ascii="Garamond" w:hAnsi="Garamond"/>
          <w:b/>
          <w:bCs/>
          <w:szCs w:val="22"/>
        </w:rPr>
        <w:t>Table A3: Domestic Market Capitalisation of Major Exchanges (USD billion)</w:t>
      </w:r>
    </w:p>
    <w:tbl>
      <w:tblPr>
        <w:tblW w:w="7343" w:type="dxa"/>
        <w:jc w:val="center"/>
        <w:tblLook w:val="04A0" w:firstRow="1" w:lastRow="0" w:firstColumn="1" w:lastColumn="0" w:noHBand="0" w:noVBand="1"/>
      </w:tblPr>
      <w:tblGrid>
        <w:gridCol w:w="3812"/>
        <w:gridCol w:w="1177"/>
        <w:gridCol w:w="1177"/>
        <w:gridCol w:w="1177"/>
      </w:tblGrid>
      <w:tr w:rsidR="009D5D54" w:rsidRPr="00AE7452" w:rsidTr="00D73337">
        <w:trPr>
          <w:trHeight w:val="254"/>
          <w:jc w:val="center"/>
        </w:trPr>
        <w:tc>
          <w:tcPr>
            <w:tcW w:w="3812"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Exchnage</w:t>
            </w:r>
          </w:p>
        </w:tc>
        <w:tc>
          <w:tcPr>
            <w:tcW w:w="1177" w:type="dxa"/>
            <w:tcBorders>
              <w:top w:val="single" w:sz="4" w:space="0" w:color="auto"/>
              <w:left w:val="nil"/>
              <w:bottom w:val="single" w:sz="4" w:space="0" w:color="auto"/>
              <w:right w:val="single" w:sz="4" w:space="0" w:color="auto"/>
            </w:tcBorders>
            <w:shd w:val="clear" w:color="000000" w:fill="B4C6E7"/>
            <w:noWrap/>
            <w:vAlign w:val="center"/>
            <w:hideMark/>
          </w:tcPr>
          <w:p w:rsidR="009D5D54" w:rsidRPr="00AE7452" w:rsidRDefault="009D5D54" w:rsidP="00D73337">
            <w:pPr>
              <w:jc w:val="center"/>
              <w:rPr>
                <w:rFonts w:ascii="Calibri" w:eastAsia="Times New Roman" w:hAnsi="Calibri" w:cs="Calibri"/>
                <w:b/>
                <w:bCs/>
                <w:color w:val="000000"/>
                <w:sz w:val="18"/>
                <w:szCs w:val="18"/>
                <w:lang w:val="en-IN" w:eastAsia="en-IN" w:bidi="hi-IN"/>
              </w:rPr>
            </w:pPr>
            <w:r w:rsidRPr="00AE7452">
              <w:rPr>
                <w:rFonts w:ascii="Calibri" w:eastAsia="Times New Roman" w:hAnsi="Calibri" w:cs="Calibri"/>
                <w:b/>
                <w:bCs/>
                <w:color w:val="000000"/>
                <w:sz w:val="18"/>
                <w:szCs w:val="18"/>
                <w:lang w:val="en-IN" w:eastAsia="en-IN" w:bidi="hi-IN"/>
              </w:rPr>
              <w:t>May-21</w:t>
            </w:r>
          </w:p>
        </w:tc>
        <w:tc>
          <w:tcPr>
            <w:tcW w:w="1177" w:type="dxa"/>
            <w:tcBorders>
              <w:top w:val="single" w:sz="4" w:space="0" w:color="auto"/>
              <w:left w:val="nil"/>
              <w:bottom w:val="single" w:sz="4" w:space="0" w:color="auto"/>
              <w:right w:val="single" w:sz="4" w:space="0" w:color="auto"/>
            </w:tcBorders>
            <w:shd w:val="clear" w:color="000000" w:fill="B4C6E7"/>
            <w:noWrap/>
            <w:vAlign w:val="center"/>
            <w:hideMark/>
          </w:tcPr>
          <w:p w:rsidR="009D5D54" w:rsidRPr="00AE7452" w:rsidRDefault="009D5D54" w:rsidP="00D73337">
            <w:pPr>
              <w:jc w:val="center"/>
              <w:rPr>
                <w:rFonts w:ascii="Calibri" w:eastAsia="Times New Roman" w:hAnsi="Calibri" w:cs="Calibri"/>
                <w:b/>
                <w:bCs/>
                <w:color w:val="000000"/>
                <w:sz w:val="18"/>
                <w:szCs w:val="18"/>
                <w:lang w:val="en-IN" w:eastAsia="en-IN" w:bidi="hi-IN"/>
              </w:rPr>
            </w:pPr>
            <w:r w:rsidRPr="00AE7452">
              <w:rPr>
                <w:rFonts w:ascii="Calibri" w:eastAsia="Times New Roman" w:hAnsi="Calibri" w:cs="Calibri"/>
                <w:b/>
                <w:bCs/>
                <w:color w:val="000000"/>
                <w:sz w:val="18"/>
                <w:szCs w:val="18"/>
                <w:lang w:val="en-IN" w:eastAsia="en-IN" w:bidi="hi-IN"/>
              </w:rPr>
              <w:t>Jun-21</w:t>
            </w:r>
          </w:p>
        </w:tc>
        <w:tc>
          <w:tcPr>
            <w:tcW w:w="1177" w:type="dxa"/>
            <w:tcBorders>
              <w:top w:val="single" w:sz="4" w:space="0" w:color="auto"/>
              <w:left w:val="nil"/>
              <w:bottom w:val="single" w:sz="4" w:space="0" w:color="auto"/>
              <w:right w:val="single" w:sz="4" w:space="0" w:color="auto"/>
            </w:tcBorders>
            <w:shd w:val="clear" w:color="000000" w:fill="B4C6E7"/>
            <w:noWrap/>
            <w:vAlign w:val="center"/>
            <w:hideMark/>
          </w:tcPr>
          <w:p w:rsidR="009D5D54" w:rsidRPr="00AE7452" w:rsidRDefault="009D5D54" w:rsidP="00D73337">
            <w:pPr>
              <w:rPr>
                <w:rFonts w:ascii="Calibri" w:eastAsia="Times New Roman" w:hAnsi="Calibri" w:cs="Calibri"/>
                <w:b/>
                <w:bCs/>
                <w:color w:val="000000"/>
                <w:sz w:val="18"/>
                <w:szCs w:val="18"/>
                <w:lang w:val="en-IN" w:eastAsia="en-IN" w:bidi="hi-IN"/>
              </w:rPr>
            </w:pPr>
            <w:r w:rsidRPr="00AE7452">
              <w:rPr>
                <w:rFonts w:ascii="Calibri" w:eastAsia="Times New Roman" w:hAnsi="Calibri" w:cs="Calibri"/>
                <w:b/>
                <w:bCs/>
                <w:color w:val="000000"/>
                <w:sz w:val="18"/>
                <w:szCs w:val="18"/>
                <w:lang w:val="en-IN" w:eastAsia="en-IN" w:bidi="hi-IN"/>
              </w:rPr>
              <w:t>% Change MoM</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Nasdaq - US</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20,875</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22,112</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5.9%</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NYSE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24,935</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24,896</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-0.2%</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LSE Group London Stock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3,818</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3,710</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-2.8%</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Deutsche Boerse AG</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2,648</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2,574</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-2.8%</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BME Spanish Exchanges</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858</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809</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-5.7%</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Japan Exchange Group</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6,711</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6,686</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-0.4%</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Singapore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681</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670</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-1.5%</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Hong Kong Exchanges and Clearing</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6,872</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6,806</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-1.0%</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Korea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2,386</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2,418</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1.3%</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ASX Australian Securities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1,886</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1,874</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-0.6%</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B3 - Brasil Bolsa Balcão</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1,079</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1,136</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5.3%</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Moscow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803</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818</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1.9%</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National Stock Exchange of India</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3,055</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3,068</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0.4%</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Shanghai Stock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7,634</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7,617</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-0.2%</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Shenzhen Stock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5,718</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5,760</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0.7%</w:t>
            </w:r>
          </w:p>
        </w:tc>
      </w:tr>
      <w:tr w:rsidR="009D5D54" w:rsidRPr="00AE7452" w:rsidTr="00D73337">
        <w:trPr>
          <w:trHeight w:val="254"/>
          <w:jc w:val="center"/>
        </w:trPr>
        <w:tc>
          <w:tcPr>
            <w:tcW w:w="3812" w:type="dxa"/>
            <w:tcBorders>
              <w:top w:val="nil"/>
              <w:left w:val="single" w:sz="4" w:space="0" w:color="auto"/>
              <w:bottom w:val="single" w:sz="4" w:space="0" w:color="auto"/>
              <w:right w:val="single" w:sz="4" w:space="0" w:color="auto"/>
            </w:tcBorders>
            <w:shd w:val="clear" w:color="000000" w:fill="D9E1F2"/>
            <w:noWrap/>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Johannesburg Stock Exchange</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1,217</w:t>
            </w:r>
          </w:p>
        </w:tc>
        <w:tc>
          <w:tcPr>
            <w:tcW w:w="1177" w:type="dxa"/>
            <w:tcBorders>
              <w:top w:val="nil"/>
              <w:left w:val="nil"/>
              <w:bottom w:val="single" w:sz="4" w:space="0" w:color="auto"/>
              <w:right w:val="single" w:sz="4"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1,149</w:t>
            </w:r>
          </w:p>
        </w:tc>
        <w:tc>
          <w:tcPr>
            <w:tcW w:w="1177" w:type="dxa"/>
            <w:tcBorders>
              <w:top w:val="nil"/>
              <w:left w:val="nil"/>
              <w:bottom w:val="single" w:sz="4" w:space="0" w:color="auto"/>
              <w:right w:val="single" w:sz="4" w:space="0" w:color="auto"/>
            </w:tcBorders>
            <w:shd w:val="clear" w:color="auto" w:fill="auto"/>
            <w:noWrap/>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-5.6%</w:t>
            </w:r>
          </w:p>
        </w:tc>
      </w:tr>
    </w:tbl>
    <w:p w:rsidR="009D5D54" w:rsidRPr="00E25198" w:rsidRDefault="009D5D54" w:rsidP="009D5D54">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 NA: Not Available</w:t>
      </w:r>
    </w:p>
    <w:p w:rsidR="009D5D54" w:rsidRPr="00E25198" w:rsidRDefault="009D5D54" w:rsidP="009D5D54">
      <w:pPr>
        <w:spacing w:line="23" w:lineRule="atLeast"/>
        <w:ind w:left="851"/>
        <w:jc w:val="both"/>
        <w:outlineLvl w:val="0"/>
        <w:rPr>
          <w:rFonts w:ascii="Garamond" w:hAnsi="Garamond"/>
          <w:bCs/>
          <w:sz w:val="18"/>
          <w:szCs w:val="18"/>
        </w:rPr>
      </w:pPr>
      <w:r w:rsidRPr="00E25198">
        <w:rPr>
          <w:rFonts w:ascii="Garamond" w:hAnsi="Garamond"/>
          <w:bCs/>
          <w:sz w:val="18"/>
          <w:szCs w:val="18"/>
        </w:rPr>
        <w:t>Source: World Federation of Exchanges</w:t>
      </w:r>
    </w:p>
    <w:p w:rsidR="009D5D54" w:rsidRPr="00E25198" w:rsidRDefault="009D5D54" w:rsidP="009D5D54">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Note: </w:t>
      </w:r>
    </w:p>
    <w:p w:rsidR="009D5D54" w:rsidRPr="00E25198" w:rsidRDefault="009D5D54" w:rsidP="009D5D54">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lastRenderedPageBreak/>
        <w:t>The figures provided in some versions of SEBI Bulletin are sourced from Refinitiv which provides country wise market capitalization data (estimated internally by Refinitiv).</w:t>
      </w:r>
    </w:p>
    <w:p w:rsidR="009D5D54" w:rsidRPr="00E25198" w:rsidRDefault="009D5D54" w:rsidP="009D5D54">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World Federation of Exchanges are more detailed and are provided by respective member exchanges.</w:t>
      </w:r>
    </w:p>
    <w:p w:rsidR="009D5D54" w:rsidRDefault="009D5D54" w:rsidP="009D5D54">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 xml:space="preserve">As per the data available as on </w:t>
      </w:r>
      <w:r>
        <w:rPr>
          <w:rFonts w:ascii="Garamond" w:hAnsi="Garamond"/>
          <w:bCs/>
          <w:sz w:val="18"/>
          <w:szCs w:val="18"/>
          <w:lang w:val="en-US"/>
        </w:rPr>
        <w:t xml:space="preserve">24 August </w:t>
      </w:r>
      <w:r w:rsidRPr="00E25198">
        <w:rPr>
          <w:rFonts w:ascii="Garamond" w:hAnsi="Garamond"/>
          <w:bCs/>
          <w:sz w:val="18"/>
          <w:szCs w:val="18"/>
          <w:lang w:val="en-US"/>
        </w:rPr>
        <w:t>2021.</w:t>
      </w:r>
    </w:p>
    <w:p w:rsidR="009D5D54" w:rsidRDefault="009D5D54" w:rsidP="009D5D54">
      <w:pPr>
        <w:spacing w:line="23" w:lineRule="atLeast"/>
        <w:jc w:val="both"/>
        <w:outlineLvl w:val="0"/>
        <w:rPr>
          <w:rFonts w:ascii="Garamond" w:hAnsi="Garamond"/>
          <w:b/>
          <w:bCs/>
          <w:szCs w:val="22"/>
        </w:rPr>
      </w:pPr>
    </w:p>
    <w:p w:rsidR="009D5D54" w:rsidRDefault="009D5D54" w:rsidP="009D5D54">
      <w:pPr>
        <w:spacing w:line="23" w:lineRule="atLeast"/>
        <w:jc w:val="both"/>
        <w:outlineLvl w:val="0"/>
        <w:rPr>
          <w:rFonts w:ascii="Garamond" w:hAnsi="Garamond"/>
          <w:b/>
          <w:bCs/>
          <w:szCs w:val="22"/>
        </w:rPr>
      </w:pPr>
    </w:p>
    <w:p w:rsidR="009D5D54" w:rsidRPr="00E25198" w:rsidRDefault="009D5D54" w:rsidP="009D5D54">
      <w:pPr>
        <w:spacing w:line="23" w:lineRule="atLeast"/>
        <w:jc w:val="both"/>
        <w:outlineLvl w:val="0"/>
        <w:rPr>
          <w:rFonts w:ascii="Garamond" w:hAnsi="Garamond"/>
          <w:b/>
          <w:bCs/>
          <w:szCs w:val="22"/>
        </w:rPr>
      </w:pPr>
      <w:r w:rsidRPr="00E25198">
        <w:rPr>
          <w:rFonts w:ascii="Garamond" w:hAnsi="Garamond"/>
          <w:b/>
          <w:bCs/>
          <w:szCs w:val="22"/>
        </w:rPr>
        <w:t>Table A4: Stock Futures and Stock Options Traded in Major Exchanges</w:t>
      </w:r>
    </w:p>
    <w:p w:rsidR="009D5D54" w:rsidRPr="00E25198" w:rsidRDefault="009D5D54" w:rsidP="009D5D54">
      <w:pPr>
        <w:spacing w:line="23" w:lineRule="atLeast"/>
        <w:ind w:right="-744"/>
        <w:jc w:val="right"/>
        <w:outlineLvl w:val="0"/>
        <w:rPr>
          <w:rFonts w:ascii="Garamond" w:hAnsi="Garamond"/>
          <w:bCs/>
          <w:sz w:val="22"/>
          <w:szCs w:val="22"/>
        </w:rPr>
      </w:pPr>
      <w:r w:rsidRPr="00E25198">
        <w:rPr>
          <w:rFonts w:ascii="Garamond" w:hAnsi="Garamond"/>
          <w:bCs/>
          <w:sz w:val="22"/>
          <w:szCs w:val="22"/>
        </w:rPr>
        <w:t>Notional Turnover in (USD million)</w:t>
      </w:r>
    </w:p>
    <w:tbl>
      <w:tblPr>
        <w:tblW w:w="10807" w:type="dxa"/>
        <w:jc w:val="center"/>
        <w:tblLook w:val="04A0" w:firstRow="1" w:lastRow="0" w:firstColumn="1" w:lastColumn="0" w:noHBand="0" w:noVBand="1"/>
      </w:tblPr>
      <w:tblGrid>
        <w:gridCol w:w="3653"/>
        <w:gridCol w:w="1224"/>
        <w:gridCol w:w="1162"/>
        <w:gridCol w:w="1169"/>
        <w:gridCol w:w="1209"/>
        <w:gridCol w:w="1162"/>
        <w:gridCol w:w="1228"/>
      </w:tblGrid>
      <w:tr w:rsidR="009D5D54" w:rsidRPr="00AE7452" w:rsidTr="00D73337">
        <w:trPr>
          <w:trHeight w:val="221"/>
          <w:jc w:val="center"/>
        </w:trPr>
        <w:tc>
          <w:tcPr>
            <w:tcW w:w="3653"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Exchange</w:t>
            </w:r>
          </w:p>
        </w:tc>
        <w:tc>
          <w:tcPr>
            <w:tcW w:w="7154" w:type="dxa"/>
            <w:gridSpan w:val="6"/>
            <w:tcBorders>
              <w:top w:val="single" w:sz="8" w:space="0" w:color="auto"/>
              <w:left w:val="nil"/>
              <w:bottom w:val="single" w:sz="8" w:space="0" w:color="auto"/>
              <w:right w:val="single" w:sz="8" w:space="0" w:color="000000"/>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Jun-21</w:t>
            </w:r>
          </w:p>
        </w:tc>
      </w:tr>
      <w:tr w:rsidR="009D5D54" w:rsidRPr="00AE7452" w:rsidTr="00D73337">
        <w:trPr>
          <w:trHeight w:val="221"/>
          <w:jc w:val="center"/>
        </w:trPr>
        <w:tc>
          <w:tcPr>
            <w:tcW w:w="3653" w:type="dxa"/>
            <w:vMerge/>
            <w:tcBorders>
              <w:top w:val="single" w:sz="8" w:space="0" w:color="auto"/>
              <w:left w:val="single" w:sz="8" w:space="0" w:color="auto"/>
              <w:bottom w:val="single" w:sz="8" w:space="0" w:color="000000"/>
              <w:right w:val="single" w:sz="8" w:space="0" w:color="auto"/>
            </w:tcBorders>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p>
        </w:tc>
        <w:tc>
          <w:tcPr>
            <w:tcW w:w="3555" w:type="dxa"/>
            <w:gridSpan w:val="3"/>
            <w:tcBorders>
              <w:top w:val="single" w:sz="8" w:space="0" w:color="auto"/>
              <w:left w:val="nil"/>
              <w:bottom w:val="single" w:sz="8" w:space="0" w:color="auto"/>
              <w:right w:val="single" w:sz="8" w:space="0" w:color="000000"/>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Single Stock Futures</w:t>
            </w:r>
          </w:p>
        </w:tc>
        <w:tc>
          <w:tcPr>
            <w:tcW w:w="3598" w:type="dxa"/>
            <w:gridSpan w:val="3"/>
            <w:tcBorders>
              <w:top w:val="single" w:sz="8" w:space="0" w:color="auto"/>
              <w:left w:val="nil"/>
              <w:bottom w:val="single" w:sz="8" w:space="0" w:color="auto"/>
              <w:right w:val="single" w:sz="8" w:space="0" w:color="000000"/>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Single Stock Options</w:t>
            </w:r>
          </w:p>
        </w:tc>
      </w:tr>
      <w:tr w:rsidR="009D5D54" w:rsidRPr="00AE7452" w:rsidTr="00D73337">
        <w:trPr>
          <w:trHeight w:val="211"/>
          <w:jc w:val="center"/>
        </w:trPr>
        <w:tc>
          <w:tcPr>
            <w:tcW w:w="3653" w:type="dxa"/>
            <w:vMerge/>
            <w:tcBorders>
              <w:top w:val="single" w:sz="8" w:space="0" w:color="auto"/>
              <w:left w:val="single" w:sz="8" w:space="0" w:color="auto"/>
              <w:bottom w:val="single" w:sz="8" w:space="0" w:color="000000"/>
              <w:right w:val="single" w:sz="8" w:space="0" w:color="auto"/>
            </w:tcBorders>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p>
        </w:tc>
        <w:tc>
          <w:tcPr>
            <w:tcW w:w="1224"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Number of</w:t>
            </w:r>
          </w:p>
        </w:tc>
        <w:tc>
          <w:tcPr>
            <w:tcW w:w="1162"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Notional</w:t>
            </w:r>
          </w:p>
        </w:tc>
        <w:tc>
          <w:tcPr>
            <w:tcW w:w="1168"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Open</w:t>
            </w:r>
          </w:p>
        </w:tc>
        <w:tc>
          <w:tcPr>
            <w:tcW w:w="1209"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Number of</w:t>
            </w:r>
          </w:p>
        </w:tc>
        <w:tc>
          <w:tcPr>
            <w:tcW w:w="1162"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Notional</w:t>
            </w:r>
          </w:p>
        </w:tc>
        <w:tc>
          <w:tcPr>
            <w:tcW w:w="1226" w:type="dxa"/>
            <w:tcBorders>
              <w:top w:val="nil"/>
              <w:left w:val="nil"/>
              <w:bottom w:val="nil"/>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Open</w:t>
            </w:r>
          </w:p>
        </w:tc>
      </w:tr>
      <w:tr w:rsidR="009D5D54" w:rsidRPr="00AE7452" w:rsidTr="00D73337">
        <w:trPr>
          <w:trHeight w:val="370"/>
          <w:jc w:val="center"/>
        </w:trPr>
        <w:tc>
          <w:tcPr>
            <w:tcW w:w="3653" w:type="dxa"/>
            <w:vMerge/>
            <w:tcBorders>
              <w:top w:val="single" w:sz="8" w:space="0" w:color="auto"/>
              <w:left w:val="single" w:sz="8" w:space="0" w:color="auto"/>
              <w:bottom w:val="single" w:sz="8" w:space="0" w:color="000000"/>
              <w:right w:val="single" w:sz="8" w:space="0" w:color="auto"/>
            </w:tcBorders>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p>
        </w:tc>
        <w:tc>
          <w:tcPr>
            <w:tcW w:w="1224"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Contracts Traded</w:t>
            </w:r>
          </w:p>
        </w:tc>
        <w:tc>
          <w:tcPr>
            <w:tcW w:w="1162"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Turnover</w:t>
            </w:r>
          </w:p>
        </w:tc>
        <w:tc>
          <w:tcPr>
            <w:tcW w:w="1168"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Interest</w:t>
            </w:r>
          </w:p>
        </w:tc>
        <w:tc>
          <w:tcPr>
            <w:tcW w:w="1209"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Contracts Traded</w:t>
            </w:r>
          </w:p>
        </w:tc>
        <w:tc>
          <w:tcPr>
            <w:tcW w:w="1162"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Turnover</w:t>
            </w:r>
          </w:p>
        </w:tc>
        <w:tc>
          <w:tcPr>
            <w:tcW w:w="1226" w:type="dxa"/>
            <w:tcBorders>
              <w:top w:val="nil"/>
              <w:left w:val="nil"/>
              <w:bottom w:val="single" w:sz="8" w:space="0" w:color="auto"/>
              <w:right w:val="single" w:sz="8" w:space="0" w:color="auto"/>
            </w:tcBorders>
            <w:shd w:val="clear" w:color="000000" w:fill="B4C6E7"/>
            <w:vAlign w:val="center"/>
            <w:hideMark/>
          </w:tcPr>
          <w:p w:rsidR="009D5D54" w:rsidRPr="00AE7452" w:rsidRDefault="009D5D54" w:rsidP="00D73337">
            <w:pPr>
              <w:jc w:val="cente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Interest</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B3 - Brasil Bolsa Balcão</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71,213,213</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455</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23,876,600</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165,627,277</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31,508</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53,497,647</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Bolsa de Valores de Colombia</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17,976</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22</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9,705</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Bolsa Mexicana de Valores</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6,800</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3,200</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22,700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14,700</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Cboe Global Markets</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164,069,086</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291,489,937</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Nasdaq - US</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217,927,133</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MIAX Exchange Group</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97,191,414</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2,012,685</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ASX Australian Securities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373,264</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568</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106,127</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4,804,212</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11,601</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5,139,828</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Hong Kong Exchanges and Clearing</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176,471</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1,198</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37,737</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11,048,450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65,583</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9,604,435</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Japan Exchange Group</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7,122</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12,356</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Korea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117,882,479</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81,561</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7,426,095</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2,779,640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208,454</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National Stock Exchange of India</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21,778,143</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237,684</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2,102,186</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53,577,296</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600,984</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1,306,828</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Singapore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258,246</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47,191</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Taiwan Futures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8,000,327</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56,966</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529,957</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4,612</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56</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2,278</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Thailand Futures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7,942,080</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2,814,725</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Athens Stock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1,611,057</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318</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554,451</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391</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716</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BME Spanish Exchanges</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1,349,787</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594</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1,497,437</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1,218,148</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1,380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7,057,002</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Borsa Istanbul</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120,608,399</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10,585</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9,917,081</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1,020,340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76</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1,388,881</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Budapest Stock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9,550</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77</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5,576</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Deutsche Boerse AG</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12,910,672</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57,464</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6,139,872</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18,022,844</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82,780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60,787,910</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Euronext</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3,521,622</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18,467</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2,059,049</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6,496,897</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30,082</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18,719,268</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Moscow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20,314,938</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6,223</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2,456,492</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199,809</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78</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319,530</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Nasdaq Nordic and Baltics</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214,169</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533</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137,332</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1,396,484</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3,041</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4,152,661</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Tehran Stock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4,120,415</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242</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Tel-Aviv Stock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98,771</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101,619</w:t>
            </w:r>
          </w:p>
        </w:tc>
      </w:tr>
      <w:tr w:rsidR="009D5D54" w:rsidRPr="00AE7452" w:rsidTr="00D73337">
        <w:trPr>
          <w:trHeight w:val="21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Warsaw Stock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197,783</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445</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38,954</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0</w:t>
            </w:r>
          </w:p>
        </w:tc>
      </w:tr>
      <w:tr w:rsidR="009D5D54" w:rsidRPr="00AE7452" w:rsidTr="00D73337">
        <w:trPr>
          <w:trHeight w:val="221"/>
          <w:jc w:val="center"/>
        </w:trPr>
        <w:tc>
          <w:tcPr>
            <w:tcW w:w="3653" w:type="dxa"/>
            <w:tcBorders>
              <w:top w:val="nil"/>
              <w:left w:val="single" w:sz="8" w:space="0" w:color="auto"/>
              <w:bottom w:val="nil"/>
              <w:right w:val="single" w:sz="8" w:space="0" w:color="auto"/>
            </w:tcBorders>
            <w:shd w:val="clear" w:color="000000" w:fill="B4C6E7"/>
            <w:vAlign w:val="center"/>
            <w:hideMark/>
          </w:tcPr>
          <w:p w:rsidR="009D5D54" w:rsidRPr="00AE7452" w:rsidRDefault="009D5D54" w:rsidP="00D73337">
            <w:pPr>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Dubai Gold and Commodities Exchange</w:t>
            </w:r>
          </w:p>
        </w:tc>
        <w:tc>
          <w:tcPr>
            <w:tcW w:w="1224"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1,822</w:t>
            </w:r>
          </w:p>
        </w:tc>
        <w:tc>
          <w:tcPr>
            <w:tcW w:w="1162" w:type="dxa"/>
            <w:tcBorders>
              <w:top w:val="nil"/>
              <w:left w:val="nil"/>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6</w:t>
            </w:r>
          </w:p>
        </w:tc>
        <w:tc>
          <w:tcPr>
            <w:tcW w:w="1168"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 xml:space="preserve"> 154</w:t>
            </w:r>
          </w:p>
        </w:tc>
        <w:tc>
          <w:tcPr>
            <w:tcW w:w="1209"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162" w:type="dxa"/>
            <w:tcBorders>
              <w:top w:val="nil"/>
              <w:left w:val="nil"/>
              <w:bottom w:val="nil"/>
              <w:right w:val="nil"/>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c>
          <w:tcPr>
            <w:tcW w:w="1226" w:type="dxa"/>
            <w:tcBorders>
              <w:top w:val="nil"/>
              <w:left w:val="single" w:sz="8" w:space="0" w:color="auto"/>
              <w:bottom w:val="nil"/>
              <w:right w:val="single" w:sz="8" w:space="0" w:color="auto"/>
            </w:tcBorders>
            <w:shd w:val="clear" w:color="auto" w:fill="auto"/>
            <w:vAlign w:val="center"/>
            <w:hideMark/>
          </w:tcPr>
          <w:p w:rsidR="009D5D54" w:rsidRPr="00AE7452" w:rsidRDefault="009D5D54" w:rsidP="00D73337">
            <w:pPr>
              <w:jc w:val="right"/>
              <w:rPr>
                <w:rFonts w:ascii="Garamond" w:eastAsia="Times New Roman" w:hAnsi="Garamond" w:cs="Calibri"/>
                <w:color w:val="000000"/>
                <w:sz w:val="20"/>
                <w:szCs w:val="20"/>
                <w:lang w:val="en-IN" w:eastAsia="en-IN" w:bidi="hi-IN"/>
              </w:rPr>
            </w:pPr>
            <w:r w:rsidRPr="00AE7452">
              <w:rPr>
                <w:rFonts w:ascii="Garamond" w:eastAsia="Times New Roman" w:hAnsi="Garamond" w:cs="Calibri"/>
                <w:color w:val="000000"/>
                <w:sz w:val="20"/>
                <w:szCs w:val="20"/>
                <w:lang w:val="en-IN" w:eastAsia="en-IN" w:bidi="hi-IN"/>
              </w:rPr>
              <w:t>NA</w:t>
            </w:r>
          </w:p>
        </w:tc>
      </w:tr>
      <w:tr w:rsidR="009D5D54" w:rsidRPr="00AE7452" w:rsidTr="00D73337">
        <w:trPr>
          <w:trHeight w:val="221"/>
          <w:jc w:val="center"/>
        </w:trPr>
        <w:tc>
          <w:tcPr>
            <w:tcW w:w="3653" w:type="dxa"/>
            <w:tcBorders>
              <w:top w:val="single" w:sz="8" w:space="0" w:color="auto"/>
              <w:left w:val="single" w:sz="8" w:space="0" w:color="auto"/>
              <w:bottom w:val="single" w:sz="8" w:space="0" w:color="auto"/>
              <w:right w:val="nil"/>
            </w:tcBorders>
            <w:shd w:val="clear" w:color="000000" w:fill="D9E1F2"/>
            <w:vAlign w:val="center"/>
            <w:hideMark/>
          </w:tcPr>
          <w:p w:rsidR="009D5D54" w:rsidRPr="00AE7452" w:rsidRDefault="009D5D54" w:rsidP="00D73337">
            <w:pPr>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Grand Total</w:t>
            </w:r>
          </w:p>
        </w:tc>
        <w:tc>
          <w:tcPr>
            <w:tcW w:w="1224" w:type="dxa"/>
            <w:tcBorders>
              <w:top w:val="single" w:sz="8" w:space="0" w:color="auto"/>
              <w:left w:val="nil"/>
              <w:bottom w:val="single" w:sz="8" w:space="0" w:color="auto"/>
              <w:right w:val="nil"/>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388,388,798</w:t>
            </w:r>
          </w:p>
        </w:tc>
        <w:tc>
          <w:tcPr>
            <w:tcW w:w="1162" w:type="dxa"/>
            <w:tcBorders>
              <w:top w:val="single" w:sz="8" w:space="0" w:color="auto"/>
              <w:left w:val="nil"/>
              <w:bottom w:val="single" w:sz="8" w:space="0" w:color="auto"/>
              <w:right w:val="nil"/>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473,169</w:t>
            </w:r>
          </w:p>
        </w:tc>
        <w:tc>
          <w:tcPr>
            <w:tcW w:w="1168" w:type="dxa"/>
            <w:tcBorders>
              <w:top w:val="single" w:sz="8" w:space="0" w:color="auto"/>
              <w:left w:val="nil"/>
              <w:bottom w:val="single" w:sz="8" w:space="0" w:color="auto"/>
              <w:right w:val="nil"/>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59,759,921</w:t>
            </w:r>
          </w:p>
        </w:tc>
        <w:tc>
          <w:tcPr>
            <w:tcW w:w="1209" w:type="dxa"/>
            <w:tcBorders>
              <w:top w:val="single" w:sz="8" w:space="0" w:color="auto"/>
              <w:left w:val="nil"/>
              <w:bottom w:val="single" w:sz="8" w:space="0" w:color="auto"/>
              <w:right w:val="nil"/>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749,633,041</w:t>
            </w:r>
          </w:p>
        </w:tc>
        <w:tc>
          <w:tcPr>
            <w:tcW w:w="1162" w:type="dxa"/>
            <w:tcBorders>
              <w:top w:val="single" w:sz="8" w:space="0" w:color="auto"/>
              <w:left w:val="nil"/>
              <w:bottom w:val="single" w:sz="8" w:space="0" w:color="auto"/>
              <w:right w:val="nil"/>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2,840,099</w:t>
            </w:r>
          </w:p>
        </w:tc>
        <w:tc>
          <w:tcPr>
            <w:tcW w:w="1226" w:type="dxa"/>
            <w:tcBorders>
              <w:top w:val="single" w:sz="8" w:space="0" w:color="auto"/>
              <w:left w:val="nil"/>
              <w:bottom w:val="single" w:sz="8" w:space="0" w:color="auto"/>
              <w:right w:val="single" w:sz="8" w:space="0" w:color="auto"/>
            </w:tcBorders>
            <w:shd w:val="clear" w:color="000000" w:fill="D9E1F2"/>
            <w:vAlign w:val="bottom"/>
            <w:hideMark/>
          </w:tcPr>
          <w:p w:rsidR="009D5D54" w:rsidRPr="00AE7452" w:rsidRDefault="009D5D54" w:rsidP="00D73337">
            <w:pPr>
              <w:jc w:val="right"/>
              <w:rPr>
                <w:rFonts w:ascii="Garamond" w:eastAsia="Times New Roman" w:hAnsi="Garamond" w:cs="Calibri"/>
                <w:b/>
                <w:bCs/>
                <w:color w:val="000000"/>
                <w:sz w:val="20"/>
                <w:szCs w:val="20"/>
                <w:lang w:val="en-IN" w:eastAsia="en-IN" w:bidi="hi-IN"/>
              </w:rPr>
            </w:pPr>
            <w:r w:rsidRPr="00AE7452">
              <w:rPr>
                <w:rFonts w:ascii="Garamond" w:eastAsia="Times New Roman" w:hAnsi="Garamond" w:cs="Calibri"/>
                <w:b/>
                <w:bCs/>
                <w:color w:val="000000"/>
                <w:sz w:val="20"/>
                <w:szCs w:val="20"/>
                <w:lang w:val="en-IN" w:eastAsia="en-IN" w:bidi="hi-IN"/>
              </w:rPr>
              <w:t xml:space="preserve"> 453,804,050</w:t>
            </w:r>
          </w:p>
        </w:tc>
      </w:tr>
    </w:tbl>
    <w:p w:rsidR="009D5D54" w:rsidRPr="00E25198" w:rsidRDefault="009D5D54" w:rsidP="009D5D54">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p>
    <w:p w:rsidR="009D5D54" w:rsidRPr="00E25198" w:rsidRDefault="009D5D54" w:rsidP="009D5D54">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E25198">
        <w:rPr>
          <w:rFonts w:ascii="Garamond" w:hAnsi="Garamond"/>
          <w:bCs/>
          <w:sz w:val="18"/>
          <w:szCs w:val="18"/>
        </w:rPr>
        <w:t>Source: World Federation of Exchanges</w:t>
      </w:r>
    </w:p>
    <w:p w:rsidR="009D5D54" w:rsidRPr="00E25198" w:rsidRDefault="009D5D54" w:rsidP="009D5D54">
      <w:pPr>
        <w:rPr>
          <w:rFonts w:ascii="Garamond" w:eastAsia="Times New Roman" w:hAnsi="Garamond"/>
          <w:bCs/>
          <w:sz w:val="22"/>
          <w:szCs w:val="22"/>
          <w:lang w:val="en-US"/>
        </w:rPr>
      </w:pPr>
    </w:p>
    <w:p w:rsidR="009D5D54" w:rsidRPr="00E25198" w:rsidRDefault="009D5D54" w:rsidP="009D5D54">
      <w:pPr>
        <w:rPr>
          <w:rFonts w:ascii="Garamond" w:eastAsia="Times New Roman" w:hAnsi="Garamond"/>
          <w:bCs/>
          <w:sz w:val="22"/>
          <w:szCs w:val="22"/>
          <w:lang w:val="en-US"/>
        </w:rPr>
      </w:pPr>
      <w:r w:rsidRPr="00E25198">
        <w:rPr>
          <w:rFonts w:ascii="Garamond" w:eastAsia="Times New Roman" w:hAnsi="Garamond"/>
          <w:bCs/>
          <w:sz w:val="22"/>
          <w:szCs w:val="22"/>
          <w:lang w:val="en-US"/>
        </w:rPr>
        <w:br w:type="page"/>
      </w:r>
    </w:p>
    <w:p w:rsidR="009D5D54" w:rsidRPr="00E25198" w:rsidRDefault="009D5D54" w:rsidP="009D5D54">
      <w:pPr>
        <w:spacing w:line="23" w:lineRule="atLeast"/>
        <w:rPr>
          <w:rFonts w:ascii="Garamond" w:eastAsia="Times New Roman" w:hAnsi="Garamond"/>
          <w:b/>
          <w:bCs/>
          <w:szCs w:val="22"/>
          <w:lang w:val="en-US"/>
        </w:rPr>
      </w:pPr>
      <w:r w:rsidRPr="00E25198">
        <w:rPr>
          <w:rFonts w:ascii="Garamond" w:eastAsia="Times New Roman" w:hAnsi="Garamond"/>
          <w:b/>
          <w:bCs/>
          <w:szCs w:val="22"/>
          <w:lang w:val="en-US"/>
        </w:rPr>
        <w:lastRenderedPageBreak/>
        <w:t xml:space="preserve">Table A5: Index Futures and Index Options Traded in Major Exchanges </w:t>
      </w:r>
    </w:p>
    <w:p w:rsidR="009D5D54" w:rsidRPr="00E25198" w:rsidRDefault="009D5D54" w:rsidP="009D5D54">
      <w:pPr>
        <w:spacing w:line="23" w:lineRule="atLeast"/>
        <w:ind w:right="-177"/>
        <w:jc w:val="right"/>
        <w:rPr>
          <w:rFonts w:ascii="Garamond" w:eastAsia="Times New Roman" w:hAnsi="Garamond"/>
          <w:bCs/>
          <w:sz w:val="22"/>
          <w:szCs w:val="22"/>
          <w:lang w:val="en-US"/>
        </w:rPr>
      </w:pPr>
      <w:r w:rsidRPr="00E25198">
        <w:rPr>
          <w:rFonts w:ascii="Garamond" w:hAnsi="Garamond"/>
          <w:bCs/>
          <w:sz w:val="22"/>
          <w:szCs w:val="22"/>
        </w:rPr>
        <w:t>Notional Turnover in (USD million)</w:t>
      </w:r>
    </w:p>
    <w:tbl>
      <w:tblPr>
        <w:tblW w:w="5302" w:type="pct"/>
        <w:tblLook w:val="04A0" w:firstRow="1" w:lastRow="0" w:firstColumn="1" w:lastColumn="0" w:noHBand="0" w:noVBand="1"/>
      </w:tblPr>
      <w:tblGrid>
        <w:gridCol w:w="3188"/>
        <w:gridCol w:w="1632"/>
        <w:gridCol w:w="1094"/>
        <w:gridCol w:w="1110"/>
        <w:gridCol w:w="1259"/>
        <w:gridCol w:w="1096"/>
        <w:gridCol w:w="1096"/>
      </w:tblGrid>
      <w:tr w:rsidR="009D5D54" w:rsidRPr="00D83CD2" w:rsidTr="00D73337">
        <w:trPr>
          <w:trHeight w:val="224"/>
        </w:trPr>
        <w:tc>
          <w:tcPr>
            <w:tcW w:w="152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Exchange</w:t>
            </w:r>
          </w:p>
        </w:tc>
        <w:tc>
          <w:tcPr>
            <w:tcW w:w="3478" w:type="pct"/>
            <w:gridSpan w:val="6"/>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Jun-21</w:t>
            </w:r>
          </w:p>
        </w:tc>
      </w:tr>
      <w:tr w:rsidR="009D5D54" w:rsidRPr="00D83CD2" w:rsidTr="00D73337">
        <w:trPr>
          <w:trHeight w:val="224"/>
        </w:trPr>
        <w:tc>
          <w:tcPr>
            <w:tcW w:w="1522"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1831" w:type="pct"/>
            <w:gridSpan w:val="3"/>
            <w:tcBorders>
              <w:top w:val="single" w:sz="4" w:space="0" w:color="auto"/>
              <w:left w:val="nil"/>
              <w:bottom w:val="single" w:sz="4" w:space="0" w:color="auto"/>
              <w:right w:val="single" w:sz="4" w:space="0" w:color="000000"/>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Stock Index Futures</w:t>
            </w:r>
          </w:p>
        </w:tc>
        <w:tc>
          <w:tcPr>
            <w:tcW w:w="1646" w:type="pct"/>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Stock Index Options</w:t>
            </w:r>
          </w:p>
        </w:tc>
      </w:tr>
      <w:tr w:rsidR="009D5D54" w:rsidRPr="00D83CD2" w:rsidTr="00D73337">
        <w:trPr>
          <w:trHeight w:val="584"/>
        </w:trPr>
        <w:tc>
          <w:tcPr>
            <w:tcW w:w="1522"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779"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522"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30"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c>
          <w:tcPr>
            <w:tcW w:w="601"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523"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23" w:type="pct"/>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B3 - Brasil Bolsa Balcão</w:t>
            </w:r>
          </w:p>
        </w:tc>
        <w:tc>
          <w:tcPr>
            <w:tcW w:w="779" w:type="pct"/>
            <w:tcBorders>
              <w:top w:val="single" w:sz="8" w:space="0" w:color="auto"/>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390,971,375</w:t>
            </w:r>
          </w:p>
        </w:tc>
        <w:tc>
          <w:tcPr>
            <w:tcW w:w="522"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2,118,207</w:t>
            </w:r>
          </w:p>
        </w:tc>
        <w:tc>
          <w:tcPr>
            <w:tcW w:w="530"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1,082,790</w:t>
            </w:r>
          </w:p>
        </w:tc>
        <w:tc>
          <w:tcPr>
            <w:tcW w:w="601"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5,189,274</w:t>
            </w:r>
          </w:p>
        </w:tc>
        <w:tc>
          <w:tcPr>
            <w:tcW w:w="523"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3,657</w:t>
            </w:r>
          </w:p>
        </w:tc>
        <w:tc>
          <w:tcPr>
            <w:tcW w:w="523"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483,298</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de Valores de Colombia</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13,400</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6,084</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Mexicana de Valores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53,198</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1,359</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18,280</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68</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Cboe Global Markets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39,115,588</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23,270,177</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Nasdaq - US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489,884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MIAX Exchange Group</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2,741</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4,041</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Matba Rofex</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130,722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122</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2,502</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1,985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CME Group</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87,230,707</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12,156,866</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4,466,708</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12,945,145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2,979,044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2,947,382</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Cboe Futures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4,002,446</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336,172</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ASX Australian Securities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1,688,979</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222,974</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277,713</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523,540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28,221</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384,547</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Hong Kong Exchanges and Clearing</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6,686,082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666,727</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570,610</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1,648,851</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178,255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1,335,103</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Japan Exchange Group</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23,352,852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1,450,073</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1,288,961</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1,992,184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1,505,899</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Korea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83,455,432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547,703</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559,591</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49,441,097</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4,431,505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2,361,522</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National Stock Exchange of India</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6,012,511</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76,820</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295,125</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964,513,925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12,718,870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4,413,282</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Singapore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13,541,285</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1,399,097</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490,268</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1,484,370</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Taiwan Futures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9,201,547</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590,860</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158,951</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14,757,054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456,204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267,583</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Thailand Futures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4,242,763</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353,668</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110,395</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20,358</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Bursa Malaysia Derivatives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225,251</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4,231</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31,840</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729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320</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China Financial Futures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5,645,954</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1,202,674</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529,887</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2,420,166</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2,952</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196,708</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Athens Stock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23,062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121</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5,318</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3,152</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1,138</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BME Spanish Exchanges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508,872</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47,824</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112,655</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138,202</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1,444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586,424</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Borsa Istanbul</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7,898,244</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13,902</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606,028</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51,572</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91</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41,910</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Budapest Stock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34,806</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56</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11,969</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Deutsche Boerse AG</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49,726,429</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2,565,931</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9,663,271</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26,984,926</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1,162,069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48,766,271</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Euronext</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3,421,214</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338,154</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738,527</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1,354,568</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106,438</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831,793</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Moscow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12,884,091</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41,040</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447,002</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1,177,320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3,817</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345,044</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Nasdaq Nordic and Baltics</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2,529,543</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66,511</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430,736</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291,787</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7,699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290,839</w:t>
            </w:r>
          </w:p>
        </w:tc>
      </w:tr>
      <w:tr w:rsidR="009D5D54" w:rsidRPr="00D83CD2" w:rsidTr="00D73337">
        <w:trPr>
          <w:trHeight w:val="224"/>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Tel-Aviv Stock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1,774,010</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91,984</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166,286</w:t>
            </w:r>
          </w:p>
        </w:tc>
      </w:tr>
      <w:tr w:rsidR="009D5D54" w:rsidRPr="00D83CD2" w:rsidTr="00D73337">
        <w:trPr>
          <w:trHeight w:val="236"/>
        </w:trPr>
        <w:tc>
          <w:tcPr>
            <w:tcW w:w="152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Warsaw Stock Exchange</w:t>
            </w:r>
          </w:p>
        </w:tc>
        <w:tc>
          <w:tcPr>
            <w:tcW w:w="77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521,529</w:t>
            </w:r>
          </w:p>
        </w:tc>
        <w:tc>
          <w:tcPr>
            <w:tcW w:w="522"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6,105</w:t>
            </w:r>
          </w:p>
        </w:tc>
        <w:tc>
          <w:tcPr>
            <w:tcW w:w="53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39,869</w:t>
            </w:r>
          </w:p>
        </w:tc>
        <w:tc>
          <w:tcPr>
            <w:tcW w:w="60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22,021</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129</w:t>
            </w:r>
          </w:p>
        </w:tc>
        <w:tc>
          <w:tcPr>
            <w:tcW w:w="52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12,158</w:t>
            </w:r>
          </w:p>
        </w:tc>
      </w:tr>
      <w:tr w:rsidR="009D5D54" w:rsidRPr="00D83CD2" w:rsidTr="00D73337">
        <w:trPr>
          <w:trHeight w:val="236"/>
        </w:trPr>
        <w:tc>
          <w:tcPr>
            <w:tcW w:w="1522" w:type="pct"/>
            <w:tcBorders>
              <w:top w:val="single" w:sz="8" w:space="0" w:color="auto"/>
              <w:left w:val="single" w:sz="8" w:space="0" w:color="auto"/>
              <w:bottom w:val="single" w:sz="8" w:space="0" w:color="auto"/>
              <w:right w:val="nil"/>
            </w:tcBorders>
            <w:shd w:val="clear" w:color="000000" w:fill="D9E1F2"/>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Grand Total</w:t>
            </w:r>
          </w:p>
        </w:tc>
        <w:tc>
          <w:tcPr>
            <w:tcW w:w="779"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714,005,035</w:t>
            </w:r>
          </w:p>
        </w:tc>
        <w:tc>
          <w:tcPr>
            <w:tcW w:w="522"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22,118,272</w:t>
            </w:r>
          </w:p>
        </w:tc>
        <w:tc>
          <w:tcPr>
            <w:tcW w:w="530"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23,433,403</w:t>
            </w:r>
          </w:p>
        </w:tc>
        <w:tc>
          <w:tcPr>
            <w:tcW w:w="601"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1125,441,793</w:t>
            </w:r>
          </w:p>
        </w:tc>
        <w:tc>
          <w:tcPr>
            <w:tcW w:w="523"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22,172,407</w:t>
            </w:r>
          </w:p>
        </w:tc>
        <w:tc>
          <w:tcPr>
            <w:tcW w:w="523" w:type="pct"/>
            <w:tcBorders>
              <w:top w:val="single" w:sz="8" w:space="0" w:color="auto"/>
              <w:left w:val="nil"/>
              <w:bottom w:val="single" w:sz="8" w:space="0" w:color="auto"/>
              <w:right w:val="single" w:sz="8" w:space="0" w:color="auto"/>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89,712,480</w:t>
            </w:r>
          </w:p>
        </w:tc>
      </w:tr>
    </w:tbl>
    <w:p w:rsidR="009D5D54" w:rsidRPr="00E25198" w:rsidRDefault="009D5D54" w:rsidP="009D5D54">
      <w:pPr>
        <w:spacing w:line="23" w:lineRule="atLeast"/>
        <w:rPr>
          <w:rFonts w:ascii="Garamond" w:hAnsi="Garamond"/>
          <w:bCs/>
          <w:sz w:val="18"/>
          <w:szCs w:val="18"/>
        </w:rPr>
      </w:pPr>
    </w:p>
    <w:p w:rsidR="009D5D54" w:rsidRPr="00E25198" w:rsidRDefault="009D5D54" w:rsidP="009D5D54">
      <w:pPr>
        <w:spacing w:line="23" w:lineRule="atLeast"/>
        <w:jc w:val="both"/>
        <w:outlineLvl w:val="0"/>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r w:rsidRPr="00E25198">
        <w:rPr>
          <w:rFonts w:ascii="Garamond" w:eastAsia="Times New Roman" w:hAnsi="Garamond" w:cs="Calibri"/>
          <w:color w:val="000000"/>
          <w:sz w:val="20"/>
          <w:szCs w:val="20"/>
          <w:lang w:val="en-IN" w:eastAsia="en-IN"/>
        </w:rPr>
        <w:t>.</w:t>
      </w:r>
    </w:p>
    <w:p w:rsidR="009D5D54" w:rsidRPr="00E25198" w:rsidRDefault="009D5D54" w:rsidP="009D5D54">
      <w:pPr>
        <w:spacing w:line="23" w:lineRule="atLeast"/>
        <w:jc w:val="both"/>
        <w:outlineLvl w:val="0"/>
        <w:rPr>
          <w:rFonts w:ascii="Garamond" w:eastAsia="Times New Roman" w:hAnsi="Garamond"/>
          <w:bCs/>
          <w:sz w:val="18"/>
          <w:szCs w:val="18"/>
          <w:lang w:val="en-US"/>
        </w:rPr>
      </w:pPr>
      <w:r w:rsidRPr="00E25198">
        <w:rPr>
          <w:rFonts w:ascii="Garamond" w:hAnsi="Garamond"/>
          <w:bCs/>
          <w:sz w:val="18"/>
          <w:szCs w:val="18"/>
        </w:rPr>
        <w:t>Source: World Federation of Exchanges</w:t>
      </w:r>
      <w:r w:rsidRPr="00E25198">
        <w:rPr>
          <w:rFonts w:ascii="Garamond" w:eastAsia="Times New Roman" w:hAnsi="Garamond"/>
          <w:bCs/>
          <w:sz w:val="18"/>
          <w:szCs w:val="18"/>
          <w:lang w:val="en-US"/>
        </w:rPr>
        <w:tab/>
      </w:r>
    </w:p>
    <w:p w:rsidR="009D5D54" w:rsidRPr="00E25198" w:rsidRDefault="009D5D54" w:rsidP="009D5D54">
      <w:pPr>
        <w:spacing w:line="23" w:lineRule="atLeast"/>
        <w:jc w:val="both"/>
        <w:outlineLvl w:val="0"/>
        <w:rPr>
          <w:rFonts w:ascii="Garamond" w:eastAsia="Times New Roman" w:hAnsi="Garamond"/>
          <w:bCs/>
          <w:sz w:val="18"/>
          <w:szCs w:val="18"/>
          <w:lang w:val="en-US"/>
        </w:rPr>
      </w:pPr>
    </w:p>
    <w:p w:rsidR="009D5D54" w:rsidRPr="002061D1" w:rsidRDefault="009D5D54" w:rsidP="009D5D54">
      <w:pPr>
        <w:rPr>
          <w:rFonts w:ascii="Garamond" w:hAnsi="Garamond"/>
          <w:bCs/>
          <w:sz w:val="22"/>
          <w:szCs w:val="22"/>
        </w:rPr>
      </w:pPr>
      <w:r w:rsidRPr="00E25198">
        <w:rPr>
          <w:rFonts w:ascii="Garamond" w:hAnsi="Garamond"/>
          <w:bCs/>
          <w:sz w:val="22"/>
          <w:szCs w:val="22"/>
        </w:rPr>
        <w:br w:type="page"/>
      </w:r>
    </w:p>
    <w:p w:rsidR="009D5D54" w:rsidRPr="002061D1" w:rsidRDefault="009D5D54" w:rsidP="009D5D54">
      <w:pPr>
        <w:spacing w:line="23" w:lineRule="atLeast"/>
        <w:jc w:val="both"/>
        <w:rPr>
          <w:rFonts w:ascii="Garamond" w:hAnsi="Garamond"/>
          <w:b/>
          <w:sz w:val="28"/>
          <w:lang w:val="en-US"/>
        </w:rPr>
      </w:pPr>
      <w:r w:rsidRPr="002061D1">
        <w:rPr>
          <w:rFonts w:ascii="Garamond" w:hAnsi="Garamond"/>
          <w:b/>
          <w:bCs/>
          <w:szCs w:val="22"/>
        </w:rPr>
        <w:lastRenderedPageBreak/>
        <w:t>Table A6: Currency Futures and Options Traded in Major Exchanges</w:t>
      </w:r>
    </w:p>
    <w:p w:rsidR="009D5D54" w:rsidRPr="002061D1" w:rsidRDefault="009D5D54" w:rsidP="009D5D54">
      <w:pPr>
        <w:ind w:right="-318"/>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5059" w:type="pct"/>
        <w:tblLook w:val="04A0" w:firstRow="1" w:lastRow="0" w:firstColumn="1" w:lastColumn="0" w:noHBand="0" w:noVBand="1"/>
      </w:tblPr>
      <w:tblGrid>
        <w:gridCol w:w="3675"/>
        <w:gridCol w:w="1150"/>
        <w:gridCol w:w="1002"/>
        <w:gridCol w:w="1041"/>
        <w:gridCol w:w="1148"/>
        <w:gridCol w:w="1002"/>
        <w:gridCol w:w="977"/>
      </w:tblGrid>
      <w:tr w:rsidR="009D5D54" w:rsidRPr="00D83CD2" w:rsidTr="00D73337">
        <w:trPr>
          <w:trHeight w:val="222"/>
        </w:trPr>
        <w:tc>
          <w:tcPr>
            <w:tcW w:w="1872"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Exchange</w:t>
            </w:r>
          </w:p>
        </w:tc>
        <w:tc>
          <w:tcPr>
            <w:tcW w:w="3128" w:type="pct"/>
            <w:gridSpan w:val="6"/>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Jun-21</w:t>
            </w:r>
          </w:p>
        </w:tc>
      </w:tr>
      <w:tr w:rsidR="009D5D54" w:rsidRPr="00D83CD2" w:rsidTr="00D73337">
        <w:trPr>
          <w:trHeight w:val="222"/>
        </w:trPr>
        <w:tc>
          <w:tcPr>
            <w:tcW w:w="1872"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1580"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Currency Futures</w:t>
            </w:r>
          </w:p>
        </w:tc>
        <w:tc>
          <w:tcPr>
            <w:tcW w:w="1547"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Currency Options</w:t>
            </w:r>
          </w:p>
        </w:tc>
      </w:tr>
      <w:tr w:rsidR="009D5D54" w:rsidRPr="00D83CD2" w:rsidTr="00D73337">
        <w:trPr>
          <w:trHeight w:val="577"/>
        </w:trPr>
        <w:tc>
          <w:tcPr>
            <w:tcW w:w="1872"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569"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495"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15"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c>
          <w:tcPr>
            <w:tcW w:w="568"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495"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483"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B3 - Brasil Bolsa Balcão</w:t>
            </w:r>
          </w:p>
        </w:tc>
        <w:tc>
          <w:tcPr>
            <w:tcW w:w="569" w:type="pct"/>
            <w:tcBorders>
              <w:top w:val="single" w:sz="8" w:space="0" w:color="auto"/>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77,607,478</w:t>
            </w:r>
          </w:p>
        </w:tc>
        <w:tc>
          <w:tcPr>
            <w:tcW w:w="495"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1,042,328</w:t>
            </w:r>
          </w:p>
        </w:tc>
        <w:tc>
          <w:tcPr>
            <w:tcW w:w="515"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1,377,493</w:t>
            </w:r>
          </w:p>
        </w:tc>
        <w:tc>
          <w:tcPr>
            <w:tcW w:w="568"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543,760</w:t>
            </w:r>
          </w:p>
        </w:tc>
        <w:tc>
          <w:tcPr>
            <w:tcW w:w="495"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515</w:t>
            </w:r>
          </w:p>
        </w:tc>
        <w:tc>
          <w:tcPr>
            <w:tcW w:w="483"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902,909</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de Valores de Colombia</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23,675</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967</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11,480</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47</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50</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Mexicana de Valores</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1,206,095</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12,144</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607,984</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4,910</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3,040</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Matba Rofex</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7,676,967</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8,091</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2,276,576</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2,145</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2,612</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CME Group</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19,561,428</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1,936,786</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1,887,257</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858,606</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100,494</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771,535</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Hong Kong Exchanges and Clearing</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295,261</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17,410</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29,146</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534</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54</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2,370</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Korea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8,115,444</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80,754</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855,675</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National Stock Exchange of India</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67,110,350</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70,511</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3,284,719</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115,783,764</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114,884</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3,223,697</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Singapore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2,392,525</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184,845</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415</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434</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Taiwan Futures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13,967</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389</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2,746</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160</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Thailand Futures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188,529</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60,159</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Borsa Istanbul</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7,047,681</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7,238</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1,641,648</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56,709</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57</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42,224</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Budapest Stock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739,667</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873</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649,737</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Moscow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64,871,656</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66,366</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3,741,024</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1,712,967</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1,760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945,184</w:t>
            </w:r>
          </w:p>
        </w:tc>
      </w:tr>
      <w:tr w:rsidR="009D5D54" w:rsidRPr="00D83CD2" w:rsidTr="00D73337">
        <w:trPr>
          <w:trHeight w:val="222"/>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Tel-Aviv Stock Exchange</w:t>
            </w:r>
          </w:p>
        </w:tc>
        <w:tc>
          <w:tcPr>
            <w:tcW w:w="569"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1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68"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920,301</w:t>
            </w:r>
          </w:p>
        </w:tc>
        <w:tc>
          <w:tcPr>
            <w:tcW w:w="495"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9,330</w:t>
            </w:r>
          </w:p>
        </w:tc>
        <w:tc>
          <w:tcPr>
            <w:tcW w:w="483"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584,380</w:t>
            </w:r>
          </w:p>
        </w:tc>
      </w:tr>
      <w:tr w:rsidR="009D5D54" w:rsidRPr="00D83CD2" w:rsidTr="00D73337">
        <w:trPr>
          <w:trHeight w:val="233"/>
        </w:trPr>
        <w:tc>
          <w:tcPr>
            <w:tcW w:w="1872"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Dubai Gold and Commodities Exchange</w:t>
            </w:r>
          </w:p>
        </w:tc>
        <w:tc>
          <w:tcPr>
            <w:tcW w:w="569" w:type="pct"/>
            <w:tcBorders>
              <w:top w:val="nil"/>
              <w:left w:val="single" w:sz="8" w:space="0" w:color="auto"/>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483,808</w:t>
            </w:r>
          </w:p>
        </w:tc>
        <w:tc>
          <w:tcPr>
            <w:tcW w:w="495"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2,769</w:t>
            </w:r>
          </w:p>
        </w:tc>
        <w:tc>
          <w:tcPr>
            <w:tcW w:w="515"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224,683</w:t>
            </w:r>
          </w:p>
        </w:tc>
        <w:tc>
          <w:tcPr>
            <w:tcW w:w="568"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95"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483"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233"/>
        </w:trPr>
        <w:tc>
          <w:tcPr>
            <w:tcW w:w="1872" w:type="pct"/>
            <w:tcBorders>
              <w:top w:val="single" w:sz="8" w:space="0" w:color="auto"/>
              <w:left w:val="single" w:sz="8" w:space="0" w:color="auto"/>
              <w:bottom w:val="single" w:sz="8" w:space="0" w:color="auto"/>
              <w:right w:val="nil"/>
            </w:tcBorders>
            <w:shd w:val="clear" w:color="000000" w:fill="D9E1F2"/>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Grand Total</w:t>
            </w:r>
          </w:p>
        </w:tc>
        <w:tc>
          <w:tcPr>
            <w:tcW w:w="569"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257,334,531</w:t>
            </w:r>
          </w:p>
        </w:tc>
        <w:tc>
          <w:tcPr>
            <w:tcW w:w="495"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3,246,628</w:t>
            </w:r>
          </w:p>
        </w:tc>
        <w:tc>
          <w:tcPr>
            <w:tcW w:w="515"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16,835,172</w:t>
            </w:r>
          </w:p>
        </w:tc>
        <w:tc>
          <w:tcPr>
            <w:tcW w:w="568"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119,884,158</w:t>
            </w:r>
          </w:p>
        </w:tc>
        <w:tc>
          <w:tcPr>
            <w:tcW w:w="495"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227,143</w:t>
            </w:r>
          </w:p>
        </w:tc>
        <w:tc>
          <w:tcPr>
            <w:tcW w:w="483" w:type="pct"/>
            <w:tcBorders>
              <w:top w:val="nil"/>
              <w:left w:val="nil"/>
              <w:bottom w:val="single" w:sz="8" w:space="0" w:color="auto"/>
              <w:right w:val="single" w:sz="8" w:space="0" w:color="auto"/>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6,478,595</w:t>
            </w:r>
          </w:p>
        </w:tc>
      </w:tr>
    </w:tbl>
    <w:p w:rsidR="009D5D54" w:rsidRPr="002061D1" w:rsidRDefault="009D5D54" w:rsidP="009D5D54">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p>
    <w:p w:rsidR="009D5D54" w:rsidRPr="002061D1" w:rsidRDefault="009D5D54" w:rsidP="009D5D54">
      <w:pPr>
        <w:spacing w:line="23" w:lineRule="atLeast"/>
        <w:jc w:val="both"/>
        <w:rPr>
          <w:rFonts w:ascii="Garamond" w:hAnsi="Garamond"/>
          <w:bCs/>
          <w:sz w:val="18"/>
          <w:szCs w:val="18"/>
        </w:rPr>
      </w:pPr>
      <w:r w:rsidRPr="002061D1">
        <w:rPr>
          <w:rFonts w:ascii="Garamond" w:hAnsi="Garamond"/>
          <w:bCs/>
          <w:sz w:val="18"/>
          <w:szCs w:val="18"/>
        </w:rPr>
        <w:t>NA: Not Available</w:t>
      </w:r>
    </w:p>
    <w:p w:rsidR="009D5D54" w:rsidRPr="002061D1" w:rsidRDefault="009D5D54" w:rsidP="009D5D54">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9D5D54" w:rsidRPr="002061D1" w:rsidRDefault="009D5D54" w:rsidP="009D5D54">
      <w:pPr>
        <w:spacing w:line="23" w:lineRule="atLeast"/>
        <w:rPr>
          <w:rFonts w:ascii="Garamond" w:hAnsi="Garamond"/>
          <w:bCs/>
          <w:sz w:val="22"/>
          <w:szCs w:val="22"/>
        </w:rPr>
      </w:pPr>
    </w:p>
    <w:p w:rsidR="009D5D54" w:rsidRPr="002061D1" w:rsidRDefault="009D5D54" w:rsidP="009D5D54">
      <w:pPr>
        <w:rPr>
          <w:rFonts w:ascii="Garamond" w:eastAsia="Times New Roman" w:hAnsi="Garamond"/>
          <w:bCs/>
          <w:sz w:val="22"/>
          <w:szCs w:val="22"/>
          <w:lang w:val="en-US"/>
        </w:rPr>
      </w:pPr>
      <w:r>
        <w:rPr>
          <w:rFonts w:ascii="Garamond" w:eastAsia="Times New Roman" w:hAnsi="Garamond"/>
          <w:b/>
          <w:bCs/>
          <w:szCs w:val="22"/>
          <w:lang w:val="en-US"/>
        </w:rPr>
        <w:br w:type="page"/>
      </w:r>
      <w:r w:rsidRPr="002061D1">
        <w:rPr>
          <w:rFonts w:ascii="Garamond" w:eastAsia="Times New Roman" w:hAnsi="Garamond"/>
          <w:b/>
          <w:bCs/>
          <w:szCs w:val="22"/>
          <w:lang w:val="en-US"/>
        </w:rPr>
        <w:lastRenderedPageBreak/>
        <w:t>Table A7: Interest Rate Futures and Options Traded in Major Exchanges</w:t>
      </w:r>
    </w:p>
    <w:p w:rsidR="009D5D54" w:rsidRPr="002061D1" w:rsidRDefault="009D5D54" w:rsidP="009D5D54">
      <w:pPr>
        <w:spacing w:line="23" w:lineRule="atLeast"/>
        <w:ind w:right="-602"/>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5500" w:type="pct"/>
        <w:jc w:val="center"/>
        <w:tblLook w:val="04A0" w:firstRow="1" w:lastRow="0" w:firstColumn="1" w:lastColumn="0" w:noHBand="0" w:noVBand="1"/>
      </w:tblPr>
      <w:tblGrid>
        <w:gridCol w:w="3230"/>
        <w:gridCol w:w="2108"/>
        <w:gridCol w:w="1176"/>
        <w:gridCol w:w="1082"/>
        <w:gridCol w:w="1080"/>
        <w:gridCol w:w="1095"/>
        <w:gridCol w:w="1095"/>
      </w:tblGrid>
      <w:tr w:rsidR="009D5D54" w:rsidRPr="00D83CD2" w:rsidTr="00D73337">
        <w:trPr>
          <w:trHeight w:val="166"/>
          <w:jc w:val="center"/>
        </w:trPr>
        <w:tc>
          <w:tcPr>
            <w:tcW w:w="1486"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Exchange</w:t>
            </w:r>
          </w:p>
        </w:tc>
        <w:tc>
          <w:tcPr>
            <w:tcW w:w="3514" w:type="pct"/>
            <w:gridSpan w:val="6"/>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Jun-21</w:t>
            </w:r>
          </w:p>
        </w:tc>
      </w:tr>
      <w:tr w:rsidR="009D5D54" w:rsidRPr="00D83CD2" w:rsidTr="00D73337">
        <w:trPr>
          <w:trHeight w:val="166"/>
          <w:jc w:val="center"/>
        </w:trPr>
        <w:tc>
          <w:tcPr>
            <w:tcW w:w="1486"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2009"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Interest Rate Futures</w:t>
            </w:r>
          </w:p>
        </w:tc>
        <w:tc>
          <w:tcPr>
            <w:tcW w:w="1506"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Interest Rate Options</w:t>
            </w:r>
          </w:p>
        </w:tc>
      </w:tr>
      <w:tr w:rsidR="009D5D54" w:rsidRPr="00D83CD2" w:rsidTr="00D73337">
        <w:trPr>
          <w:trHeight w:val="435"/>
          <w:jc w:val="center"/>
        </w:trPr>
        <w:tc>
          <w:tcPr>
            <w:tcW w:w="1486"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970"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541"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497"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c>
          <w:tcPr>
            <w:tcW w:w="497"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504"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04"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B3 - Brasil Bolsa Balcão</w:t>
            </w:r>
          </w:p>
        </w:tc>
        <w:tc>
          <w:tcPr>
            <w:tcW w:w="970" w:type="pct"/>
            <w:tcBorders>
              <w:top w:val="single" w:sz="8" w:space="0" w:color="auto"/>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59,640,134</w:t>
            </w:r>
          </w:p>
        </w:tc>
        <w:tc>
          <w:tcPr>
            <w:tcW w:w="541"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1,108,243</w:t>
            </w:r>
          </w:p>
        </w:tc>
        <w:tc>
          <w:tcPr>
            <w:tcW w:w="497"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34,787,114</w:t>
            </w:r>
          </w:p>
        </w:tc>
        <w:tc>
          <w:tcPr>
            <w:tcW w:w="497"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19,162,854</w:t>
            </w:r>
          </w:p>
        </w:tc>
        <w:tc>
          <w:tcPr>
            <w:tcW w:w="504"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349</w:t>
            </w:r>
          </w:p>
        </w:tc>
        <w:tc>
          <w:tcPr>
            <w:tcW w:w="504"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44,450,785</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de Valores de Colombia</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8,537</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571</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13,554</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Bolsa Mexicana de Valores</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9,500</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55</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4,500</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CME Group</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144,510,267</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86,146,484</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28,418,978</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43,961,134</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25,832,247</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40,007,644</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ASX Australian Securities Exchange</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14,298,279</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2,283,681</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3,052,829</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9,573</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718</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4,000</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Japan Exchange Group</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874,332</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85,805</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16,669</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708</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Korea Exchange</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6,582,256</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668,496</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494,576</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National Stock Exchange of India</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99,249</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264</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14,935</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Singapore Exchange</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56,607</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15,359</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China Financial Futures Exchange</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1,929,967</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326,667</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261,116</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Deutsche Boerse AG</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54,447,663</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9,710,766</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5,229,365</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3,392,554</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652,834</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1,110,392</w:t>
            </w:r>
          </w:p>
        </w:tc>
      </w:tr>
      <w:tr w:rsidR="009D5D54" w:rsidRPr="00D83CD2" w:rsidTr="00D73337">
        <w:trPr>
          <w:trHeight w:val="166"/>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Moscow Exchange</w:t>
            </w:r>
          </w:p>
        </w:tc>
        <w:tc>
          <w:tcPr>
            <w:tcW w:w="970"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10,466</w:t>
            </w:r>
          </w:p>
        </w:tc>
        <w:tc>
          <w:tcPr>
            <w:tcW w:w="541"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32,326</w:t>
            </w:r>
          </w:p>
        </w:tc>
        <w:tc>
          <w:tcPr>
            <w:tcW w:w="497"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175"/>
          <w:jc w:val="center"/>
        </w:trPr>
        <w:tc>
          <w:tcPr>
            <w:tcW w:w="1486"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Nasdaq Nordic and Baltics</w:t>
            </w:r>
          </w:p>
        </w:tc>
        <w:tc>
          <w:tcPr>
            <w:tcW w:w="970" w:type="pct"/>
            <w:tcBorders>
              <w:top w:val="nil"/>
              <w:left w:val="single" w:sz="8" w:space="0" w:color="auto"/>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659,726</w:t>
            </w:r>
          </w:p>
        </w:tc>
        <w:tc>
          <w:tcPr>
            <w:tcW w:w="541"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77,164</w:t>
            </w:r>
          </w:p>
        </w:tc>
        <w:tc>
          <w:tcPr>
            <w:tcW w:w="497"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1,447,174</w:t>
            </w:r>
          </w:p>
        </w:tc>
        <w:tc>
          <w:tcPr>
            <w:tcW w:w="497"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587,450</w:t>
            </w:r>
          </w:p>
        </w:tc>
        <w:tc>
          <w:tcPr>
            <w:tcW w:w="504"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68,710</w:t>
            </w:r>
          </w:p>
        </w:tc>
        <w:tc>
          <w:tcPr>
            <w:tcW w:w="504" w:type="pct"/>
            <w:tcBorders>
              <w:top w:val="nil"/>
              <w:left w:val="nil"/>
              <w:bottom w:val="single" w:sz="8" w:space="0" w:color="auto"/>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r>
      <w:tr w:rsidR="009D5D54" w:rsidRPr="00D83CD2" w:rsidTr="00D73337">
        <w:trPr>
          <w:trHeight w:val="175"/>
          <w:jc w:val="center"/>
        </w:trPr>
        <w:tc>
          <w:tcPr>
            <w:tcW w:w="1486" w:type="pct"/>
            <w:tcBorders>
              <w:top w:val="single" w:sz="8" w:space="0" w:color="auto"/>
              <w:left w:val="single" w:sz="8" w:space="0" w:color="auto"/>
              <w:bottom w:val="single" w:sz="8" w:space="0" w:color="auto"/>
              <w:right w:val="nil"/>
            </w:tcBorders>
            <w:shd w:val="clear" w:color="000000" w:fill="D9E1F2"/>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Grand Total</w:t>
            </w:r>
          </w:p>
        </w:tc>
        <w:tc>
          <w:tcPr>
            <w:tcW w:w="970"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283,126,983</w:t>
            </w:r>
          </w:p>
        </w:tc>
        <w:tc>
          <w:tcPr>
            <w:tcW w:w="541"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100,322,394</w:t>
            </w:r>
          </w:p>
        </w:tc>
        <w:tc>
          <w:tcPr>
            <w:tcW w:w="497"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73,857,631</w:t>
            </w:r>
          </w:p>
        </w:tc>
        <w:tc>
          <w:tcPr>
            <w:tcW w:w="497"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67,130,234</w:t>
            </w:r>
          </w:p>
        </w:tc>
        <w:tc>
          <w:tcPr>
            <w:tcW w:w="504" w:type="pct"/>
            <w:tcBorders>
              <w:top w:val="nil"/>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26,554,858</w:t>
            </w:r>
          </w:p>
        </w:tc>
        <w:tc>
          <w:tcPr>
            <w:tcW w:w="504" w:type="pct"/>
            <w:tcBorders>
              <w:top w:val="nil"/>
              <w:left w:val="nil"/>
              <w:bottom w:val="single" w:sz="8" w:space="0" w:color="auto"/>
              <w:right w:val="single" w:sz="8" w:space="0" w:color="auto"/>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85,573,529</w:t>
            </w:r>
          </w:p>
        </w:tc>
      </w:tr>
    </w:tbl>
    <w:p w:rsidR="009D5D54" w:rsidRPr="002061D1" w:rsidRDefault="009D5D54" w:rsidP="009D5D54">
      <w:pPr>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p>
    <w:p w:rsidR="009D5D54" w:rsidRPr="002061D1" w:rsidRDefault="009D5D54" w:rsidP="009D5D54">
      <w:pPr>
        <w:spacing w:line="23" w:lineRule="atLeast"/>
        <w:jc w:val="both"/>
        <w:rPr>
          <w:rFonts w:ascii="Garamond" w:hAnsi="Garamond"/>
          <w:bCs/>
          <w:sz w:val="18"/>
          <w:szCs w:val="18"/>
        </w:rPr>
      </w:pPr>
      <w:r w:rsidRPr="002061D1">
        <w:rPr>
          <w:rFonts w:ascii="Garamond" w:hAnsi="Garamond"/>
          <w:bCs/>
          <w:sz w:val="18"/>
          <w:szCs w:val="18"/>
        </w:rPr>
        <w:t>NA: Not Available</w:t>
      </w:r>
    </w:p>
    <w:p w:rsidR="009D5D54" w:rsidRPr="002061D1" w:rsidRDefault="009D5D54" w:rsidP="009D5D54">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9D5D54" w:rsidRPr="002061D1" w:rsidRDefault="009D5D54" w:rsidP="009D5D54">
      <w:pPr>
        <w:rPr>
          <w:rFonts w:ascii="Garamond" w:eastAsia="Times New Roman" w:hAnsi="Garamond"/>
          <w:bCs/>
          <w:sz w:val="22"/>
          <w:szCs w:val="22"/>
          <w:lang w:val="en-US"/>
        </w:rPr>
      </w:pPr>
    </w:p>
    <w:p w:rsidR="009D5D54" w:rsidRPr="001D2656" w:rsidRDefault="009D5D54" w:rsidP="009D5D54">
      <w:pPr>
        <w:rPr>
          <w:rFonts w:ascii="Garamond" w:eastAsia="Times New Roman" w:hAnsi="Garamond"/>
          <w:bCs/>
          <w:sz w:val="22"/>
          <w:szCs w:val="22"/>
          <w:lang w:val="en-US"/>
        </w:rPr>
      </w:pPr>
      <w:r w:rsidRPr="001D2656">
        <w:rPr>
          <w:rFonts w:ascii="Garamond" w:eastAsia="Times New Roman" w:hAnsi="Garamond"/>
          <w:bCs/>
          <w:sz w:val="22"/>
          <w:szCs w:val="22"/>
          <w:lang w:val="en-US"/>
        </w:rPr>
        <w:br w:type="page"/>
      </w:r>
    </w:p>
    <w:p w:rsidR="009D5D54" w:rsidRPr="001D2656" w:rsidRDefault="009D5D54" w:rsidP="009D5D54">
      <w:pPr>
        <w:spacing w:line="23" w:lineRule="atLeast"/>
        <w:rPr>
          <w:rFonts w:ascii="Garamond" w:hAnsi="Garamond"/>
          <w:b/>
          <w:bCs/>
          <w:szCs w:val="22"/>
        </w:rPr>
      </w:pPr>
      <w:r w:rsidRPr="001D2656">
        <w:rPr>
          <w:rFonts w:ascii="Garamond" w:eastAsia="Times New Roman" w:hAnsi="Garamond"/>
          <w:b/>
          <w:bCs/>
          <w:szCs w:val="22"/>
          <w:lang w:val="en-US"/>
        </w:rPr>
        <w:lastRenderedPageBreak/>
        <w:t>Table A8: Commodity Futures and Options Traded in Major Exchanges</w:t>
      </w:r>
    </w:p>
    <w:p w:rsidR="009D5D54" w:rsidRPr="001D2656" w:rsidRDefault="009D5D54" w:rsidP="009D5D54">
      <w:pPr>
        <w:spacing w:line="23" w:lineRule="atLeast"/>
        <w:ind w:right="348"/>
        <w:jc w:val="right"/>
        <w:rPr>
          <w:rFonts w:ascii="Garamond" w:hAnsi="Garamond"/>
          <w:bCs/>
          <w:sz w:val="22"/>
          <w:szCs w:val="22"/>
        </w:rPr>
      </w:pPr>
      <w:r w:rsidRPr="001D2656">
        <w:rPr>
          <w:rFonts w:ascii="Garamond" w:hAnsi="Garamond"/>
          <w:bCs/>
          <w:sz w:val="22"/>
          <w:szCs w:val="22"/>
        </w:rPr>
        <w:t>Notional Turnover in (USD million)</w:t>
      </w:r>
    </w:p>
    <w:tbl>
      <w:tblPr>
        <w:tblW w:w="5188" w:type="pct"/>
        <w:tblLook w:val="04A0" w:firstRow="1" w:lastRow="0" w:firstColumn="1" w:lastColumn="0" w:noHBand="0" w:noVBand="1"/>
      </w:tblPr>
      <w:tblGrid>
        <w:gridCol w:w="2872"/>
        <w:gridCol w:w="2153"/>
        <w:gridCol w:w="1041"/>
        <w:gridCol w:w="1056"/>
        <w:gridCol w:w="1071"/>
        <w:gridCol w:w="1002"/>
        <w:gridCol w:w="1054"/>
      </w:tblGrid>
      <w:tr w:rsidR="009D5D54" w:rsidRPr="00D83CD2" w:rsidTr="00D73337">
        <w:trPr>
          <w:trHeight w:val="222"/>
        </w:trPr>
        <w:tc>
          <w:tcPr>
            <w:tcW w:w="1423"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Exchange</w:t>
            </w:r>
          </w:p>
        </w:tc>
        <w:tc>
          <w:tcPr>
            <w:tcW w:w="3577" w:type="pct"/>
            <w:gridSpan w:val="6"/>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Jun-21</w:t>
            </w:r>
          </w:p>
        </w:tc>
      </w:tr>
      <w:tr w:rsidR="009D5D54" w:rsidRPr="00D83CD2" w:rsidTr="00D73337">
        <w:trPr>
          <w:trHeight w:val="222"/>
        </w:trPr>
        <w:tc>
          <w:tcPr>
            <w:tcW w:w="1423"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2077"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Commodities Futures</w:t>
            </w:r>
          </w:p>
        </w:tc>
        <w:tc>
          <w:tcPr>
            <w:tcW w:w="1499" w:type="pct"/>
            <w:gridSpan w:val="3"/>
            <w:tcBorders>
              <w:top w:val="single" w:sz="4" w:space="0" w:color="auto"/>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Commodities Options</w:t>
            </w:r>
          </w:p>
        </w:tc>
      </w:tr>
      <w:tr w:rsidR="009D5D54" w:rsidRPr="00D83CD2" w:rsidTr="00D73337">
        <w:trPr>
          <w:trHeight w:val="579"/>
        </w:trPr>
        <w:tc>
          <w:tcPr>
            <w:tcW w:w="1423" w:type="pct"/>
            <w:vMerge/>
            <w:tcBorders>
              <w:top w:val="single" w:sz="4" w:space="0" w:color="auto"/>
              <w:left w:val="single" w:sz="4" w:space="0" w:color="auto"/>
              <w:bottom w:val="single" w:sz="4" w:space="0" w:color="auto"/>
              <w:right w:val="single" w:sz="4" w:space="0" w:color="auto"/>
            </w:tcBorders>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p>
        </w:tc>
        <w:tc>
          <w:tcPr>
            <w:tcW w:w="1072"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499"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06"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c>
          <w:tcPr>
            <w:tcW w:w="514"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Number of</w:t>
            </w:r>
            <w:r w:rsidRPr="00D83CD2">
              <w:rPr>
                <w:rFonts w:ascii="Garamond" w:eastAsia="Times New Roman" w:hAnsi="Garamond" w:cs="Calibri"/>
                <w:b/>
                <w:bCs/>
                <w:color w:val="000000"/>
                <w:sz w:val="20"/>
                <w:szCs w:val="20"/>
                <w:lang w:val="en-IN" w:eastAsia="en-IN" w:bidi="hi-IN"/>
              </w:rPr>
              <w:br/>
              <w:t>Contracts Traded</w:t>
            </w:r>
          </w:p>
        </w:tc>
        <w:tc>
          <w:tcPr>
            <w:tcW w:w="480"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Notional</w:t>
            </w:r>
            <w:r w:rsidRPr="00D83CD2">
              <w:rPr>
                <w:rFonts w:ascii="Garamond" w:eastAsia="Times New Roman" w:hAnsi="Garamond" w:cs="Calibri"/>
                <w:b/>
                <w:bCs/>
                <w:color w:val="000000"/>
                <w:sz w:val="20"/>
                <w:szCs w:val="20"/>
                <w:lang w:val="en-IN" w:eastAsia="en-IN" w:bidi="hi-IN"/>
              </w:rPr>
              <w:br/>
              <w:t>Turnover</w:t>
            </w:r>
          </w:p>
        </w:tc>
        <w:tc>
          <w:tcPr>
            <w:tcW w:w="506" w:type="pct"/>
            <w:tcBorders>
              <w:top w:val="nil"/>
              <w:left w:val="nil"/>
              <w:bottom w:val="single" w:sz="4" w:space="0" w:color="auto"/>
              <w:right w:val="single" w:sz="4" w:space="0" w:color="auto"/>
            </w:tcBorders>
            <w:shd w:val="clear" w:color="000000" w:fill="B4C6E7"/>
            <w:vAlign w:val="center"/>
            <w:hideMark/>
          </w:tcPr>
          <w:p w:rsidR="009D5D54" w:rsidRPr="00D83CD2" w:rsidRDefault="009D5D54" w:rsidP="00D73337">
            <w:pPr>
              <w:jc w:val="cente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Open</w:t>
            </w:r>
            <w:r w:rsidRPr="00D83CD2">
              <w:rPr>
                <w:rFonts w:ascii="Garamond" w:eastAsia="Times New Roman" w:hAnsi="Garamond" w:cs="Calibri"/>
                <w:b/>
                <w:bCs/>
                <w:color w:val="000000"/>
                <w:sz w:val="20"/>
                <w:szCs w:val="20"/>
                <w:lang w:val="en-IN" w:eastAsia="en-IN" w:bidi="hi-IN"/>
              </w:rPr>
              <w:br/>
              <w:t>Interest</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B3 - Brasil Bolsa Balcão</w:t>
            </w:r>
          </w:p>
        </w:tc>
        <w:tc>
          <w:tcPr>
            <w:tcW w:w="1072" w:type="pct"/>
            <w:tcBorders>
              <w:top w:val="single" w:sz="8" w:space="0" w:color="auto"/>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490,678</w:t>
            </w:r>
          </w:p>
        </w:tc>
        <w:tc>
          <w:tcPr>
            <w:tcW w:w="499"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5,064</w:t>
            </w:r>
          </w:p>
        </w:tc>
        <w:tc>
          <w:tcPr>
            <w:tcW w:w="506"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133,564</w:t>
            </w:r>
          </w:p>
        </w:tc>
        <w:tc>
          <w:tcPr>
            <w:tcW w:w="514"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65,072</w:t>
            </w:r>
          </w:p>
        </w:tc>
        <w:tc>
          <w:tcPr>
            <w:tcW w:w="480"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w:t>
            </w:r>
          </w:p>
        </w:tc>
        <w:tc>
          <w:tcPr>
            <w:tcW w:w="506" w:type="pct"/>
            <w:tcBorders>
              <w:top w:val="single" w:sz="8" w:space="0" w:color="auto"/>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176,083</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Matba Rofex</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92,520</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1,339</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55,333</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17,788</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23,676</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CME Group</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80,919,086</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5,237,635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13,550,626</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14,137,453</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801,205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10,648,501</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ASX Australian Securities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93,883</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3,355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204,304</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9,558</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1,630</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49,808</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Hong Kong Exchanges and Clearing</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50,079</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1,574</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2,206</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National Stock Exchange of India</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11,634</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57</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246</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14,405</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94</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1,297</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NZX Limited</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24,514</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146</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54,718</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216</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5,904</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Singapore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1,864,991</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1,145,088</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333,024</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841,396</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Taiwan Futures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12,789</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243</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1,294</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2,900</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185</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Thailand Futures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1,010,903</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40,234</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Bursa Malaysia Derivatives</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1,705,276</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36,689</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193,863</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10,325</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0</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27,496</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Zhengzhou Commodity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189,812,566</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1,214,471</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9,035,878</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5,674,456</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675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962,871</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Dalian Commodity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186,270,204</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1,915,895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9,248,949</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8,150,978</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1,561</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1,417,444</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Multi Commodity Exchange of India</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13,249,811</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79,016</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273,550</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750,325</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6,737</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14,021</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Shanghai Futures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189,042,440</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2,611,721</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6,159,414</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2,310,174</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1,072</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192,513</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Borsa Istanbul</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13,060,560</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4,105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1,518,133</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Deutsche Boerse AG</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468,798</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33,124</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2,399,625</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52,302</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396</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324,290</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Euronext</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1,269,962</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19,707</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628,231</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144,834</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2,212</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305,130</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LSE Group London Stock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Moscow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45,560,038</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36,145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2,390,912</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353,324</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255</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82,170</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Dubai Gold and Commodities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7,794</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117</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489</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22"/>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London Metal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11,828,700</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1,731,642</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1,884,878</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598,764</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96,339</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473,412</w:t>
            </w:r>
          </w:p>
        </w:tc>
      </w:tr>
      <w:tr w:rsidR="009D5D54" w:rsidRPr="00D83CD2" w:rsidTr="00D73337">
        <w:trPr>
          <w:trHeight w:val="389"/>
        </w:trPr>
        <w:tc>
          <w:tcPr>
            <w:tcW w:w="1423" w:type="pct"/>
            <w:tcBorders>
              <w:top w:val="nil"/>
              <w:left w:val="single" w:sz="4" w:space="0" w:color="auto"/>
              <w:bottom w:val="nil"/>
              <w:right w:val="nil"/>
            </w:tcBorders>
            <w:shd w:val="clear" w:color="000000" w:fill="B4C6E7"/>
            <w:vAlign w:val="center"/>
            <w:hideMark/>
          </w:tcPr>
          <w:p w:rsidR="009D5D54" w:rsidRPr="00D83CD2" w:rsidRDefault="009D5D54" w:rsidP="00D73337">
            <w:pPr>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The Saint-Petersburg International Mercantile Exchange</w:t>
            </w:r>
          </w:p>
        </w:tc>
        <w:tc>
          <w:tcPr>
            <w:tcW w:w="1072" w:type="pct"/>
            <w:tcBorders>
              <w:top w:val="nil"/>
              <w:left w:val="single" w:sz="8" w:space="0" w:color="auto"/>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26,432</w:t>
            </w:r>
          </w:p>
        </w:tc>
        <w:tc>
          <w:tcPr>
            <w:tcW w:w="499"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63</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 xml:space="preserve"> 3,649</w:t>
            </w:r>
          </w:p>
        </w:tc>
        <w:tc>
          <w:tcPr>
            <w:tcW w:w="514"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480"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c>
          <w:tcPr>
            <w:tcW w:w="506" w:type="pct"/>
            <w:tcBorders>
              <w:top w:val="nil"/>
              <w:left w:val="nil"/>
              <w:bottom w:val="nil"/>
              <w:right w:val="single" w:sz="8" w:space="0" w:color="auto"/>
            </w:tcBorders>
            <w:shd w:val="clear" w:color="auto" w:fill="auto"/>
            <w:vAlign w:val="center"/>
            <w:hideMark/>
          </w:tcPr>
          <w:p w:rsidR="009D5D54" w:rsidRPr="00D83CD2" w:rsidRDefault="009D5D54" w:rsidP="00D73337">
            <w:pPr>
              <w:jc w:val="right"/>
              <w:rPr>
                <w:rFonts w:ascii="Garamond" w:eastAsia="Times New Roman" w:hAnsi="Garamond" w:cs="Calibri"/>
                <w:color w:val="000000"/>
                <w:sz w:val="20"/>
                <w:szCs w:val="20"/>
                <w:lang w:val="en-IN" w:eastAsia="en-IN" w:bidi="hi-IN"/>
              </w:rPr>
            </w:pPr>
            <w:r w:rsidRPr="00D83CD2">
              <w:rPr>
                <w:rFonts w:ascii="Garamond" w:eastAsia="Times New Roman" w:hAnsi="Garamond" w:cs="Calibri"/>
                <w:color w:val="000000"/>
                <w:sz w:val="20"/>
                <w:szCs w:val="20"/>
                <w:lang w:val="en-IN" w:eastAsia="en-IN" w:bidi="hi-IN"/>
              </w:rPr>
              <w:t>NA</w:t>
            </w:r>
          </w:p>
        </w:tc>
      </w:tr>
      <w:tr w:rsidR="009D5D54" w:rsidRPr="00D83CD2" w:rsidTr="00D73337">
        <w:trPr>
          <w:trHeight w:val="233"/>
        </w:trPr>
        <w:tc>
          <w:tcPr>
            <w:tcW w:w="1423" w:type="pct"/>
            <w:tcBorders>
              <w:top w:val="single" w:sz="8" w:space="0" w:color="auto"/>
              <w:left w:val="single" w:sz="8" w:space="0" w:color="auto"/>
              <w:bottom w:val="single" w:sz="8" w:space="0" w:color="auto"/>
              <w:right w:val="nil"/>
            </w:tcBorders>
            <w:shd w:val="clear" w:color="000000" w:fill="D9E1F2"/>
            <w:vAlign w:val="center"/>
            <w:hideMark/>
          </w:tcPr>
          <w:p w:rsidR="009D5D54" w:rsidRPr="00D83CD2" w:rsidRDefault="009D5D54" w:rsidP="00D73337">
            <w:pPr>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Grand Total</w:t>
            </w:r>
          </w:p>
        </w:tc>
        <w:tc>
          <w:tcPr>
            <w:tcW w:w="1072"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736,873,658</w:t>
            </w:r>
          </w:p>
        </w:tc>
        <w:tc>
          <w:tcPr>
            <w:tcW w:w="499"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12,932,106</w:t>
            </w:r>
          </w:p>
        </w:tc>
        <w:tc>
          <w:tcPr>
            <w:tcW w:w="506"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48,925,184</w:t>
            </w:r>
          </w:p>
        </w:tc>
        <w:tc>
          <w:tcPr>
            <w:tcW w:w="514"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32,625,898</w:t>
            </w:r>
          </w:p>
        </w:tc>
        <w:tc>
          <w:tcPr>
            <w:tcW w:w="480" w:type="pct"/>
            <w:tcBorders>
              <w:top w:val="single" w:sz="8" w:space="0" w:color="auto"/>
              <w:left w:val="nil"/>
              <w:bottom w:val="single" w:sz="8" w:space="0" w:color="auto"/>
              <w:right w:val="nil"/>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912,244</w:t>
            </w:r>
          </w:p>
        </w:tc>
        <w:tc>
          <w:tcPr>
            <w:tcW w:w="506" w:type="pct"/>
            <w:tcBorders>
              <w:top w:val="single" w:sz="8" w:space="0" w:color="auto"/>
              <w:left w:val="nil"/>
              <w:bottom w:val="single" w:sz="8" w:space="0" w:color="auto"/>
              <w:right w:val="single" w:sz="8" w:space="0" w:color="auto"/>
            </w:tcBorders>
            <w:shd w:val="clear" w:color="000000" w:fill="D9E1F2"/>
            <w:vAlign w:val="bottom"/>
            <w:hideMark/>
          </w:tcPr>
          <w:p w:rsidR="009D5D54" w:rsidRPr="00D83CD2" w:rsidRDefault="009D5D54" w:rsidP="00D73337">
            <w:pPr>
              <w:jc w:val="right"/>
              <w:rPr>
                <w:rFonts w:ascii="Garamond" w:eastAsia="Times New Roman" w:hAnsi="Garamond" w:cs="Calibri"/>
                <w:b/>
                <w:bCs/>
                <w:color w:val="000000"/>
                <w:sz w:val="20"/>
                <w:szCs w:val="20"/>
                <w:lang w:val="en-IN" w:eastAsia="en-IN" w:bidi="hi-IN"/>
              </w:rPr>
            </w:pPr>
            <w:r w:rsidRPr="00D83CD2">
              <w:rPr>
                <w:rFonts w:ascii="Garamond" w:eastAsia="Times New Roman" w:hAnsi="Garamond" w:cs="Calibri"/>
                <w:b/>
                <w:bCs/>
                <w:color w:val="000000"/>
                <w:sz w:val="20"/>
                <w:szCs w:val="20"/>
                <w:lang w:val="en-IN" w:eastAsia="en-IN" w:bidi="hi-IN"/>
              </w:rPr>
              <w:t xml:space="preserve"> 15,546,197</w:t>
            </w:r>
          </w:p>
        </w:tc>
      </w:tr>
    </w:tbl>
    <w:p w:rsidR="009D5D54" w:rsidRPr="001D2656" w:rsidRDefault="009D5D54" w:rsidP="009D5D54">
      <w:pPr>
        <w:spacing w:line="23" w:lineRule="atLeast"/>
        <w:rPr>
          <w:rFonts w:ascii="Garamond" w:hAnsi="Garamond"/>
          <w:bCs/>
          <w:sz w:val="18"/>
          <w:szCs w:val="18"/>
        </w:rPr>
      </w:pPr>
      <w:r w:rsidRPr="001D2656">
        <w:rPr>
          <w:rFonts w:ascii="Garamond" w:hAnsi="Garamond"/>
          <w:bCs/>
          <w:sz w:val="18"/>
          <w:szCs w:val="18"/>
        </w:rPr>
        <w:t xml:space="preserve"> NA: Not Available</w:t>
      </w:r>
    </w:p>
    <w:p w:rsidR="009D5D54" w:rsidRPr="001D2656" w:rsidRDefault="009D5D54" w:rsidP="009D5D54">
      <w:pPr>
        <w:spacing w:line="23" w:lineRule="atLeast"/>
        <w:jc w:val="both"/>
        <w:outlineLvl w:val="0"/>
        <w:rPr>
          <w:rFonts w:ascii="Garamond" w:hAnsi="Garamond"/>
          <w:bCs/>
          <w:sz w:val="18"/>
          <w:szCs w:val="18"/>
        </w:rPr>
      </w:pPr>
      <w:r w:rsidRPr="001D2656">
        <w:rPr>
          <w:rFonts w:ascii="Garamond" w:hAnsi="Garamond"/>
          <w:bCs/>
          <w:sz w:val="18"/>
          <w:szCs w:val="18"/>
        </w:rPr>
        <w:t>Source: World Federation of Exchanges</w:t>
      </w:r>
    </w:p>
    <w:p w:rsidR="009D5D54" w:rsidRPr="001D2656" w:rsidRDefault="009D5D54" w:rsidP="009D5D54">
      <w:pPr>
        <w:rPr>
          <w:rFonts w:ascii="Times New Roman" w:hAnsi="Times New Roman"/>
          <w:bCs/>
          <w:sz w:val="18"/>
          <w:szCs w:val="18"/>
        </w:rPr>
      </w:pPr>
      <w:r w:rsidRPr="001D2656">
        <w:rPr>
          <w:rFonts w:ascii="Times New Roman" w:hAnsi="Times New Roman"/>
          <w:bCs/>
          <w:sz w:val="18"/>
          <w:szCs w:val="18"/>
        </w:rPr>
        <w:br w:type="page"/>
      </w:r>
    </w:p>
    <w:p w:rsidR="009D5D54" w:rsidRPr="001D2656" w:rsidRDefault="009D5D54" w:rsidP="009D5D54">
      <w:pPr>
        <w:spacing w:line="23" w:lineRule="atLeast"/>
        <w:jc w:val="both"/>
        <w:rPr>
          <w:rFonts w:ascii="Garamond" w:hAnsi="Garamond"/>
          <w:b/>
          <w:bCs/>
          <w:szCs w:val="22"/>
        </w:rPr>
      </w:pPr>
      <w:r w:rsidRPr="001D2656">
        <w:rPr>
          <w:rFonts w:ascii="Garamond" w:hAnsi="Garamond"/>
          <w:b/>
          <w:bCs/>
          <w:szCs w:val="22"/>
        </w:rPr>
        <w:lastRenderedPageBreak/>
        <w:t>Table A9: Major Foreign Holders of US Treasury Securities (USD billion)</w:t>
      </w:r>
    </w:p>
    <w:tbl>
      <w:tblPr>
        <w:tblW w:w="5362" w:type="pct"/>
        <w:tblLook w:val="04A0" w:firstRow="1" w:lastRow="0" w:firstColumn="1" w:lastColumn="0" w:noHBand="0" w:noVBand="1"/>
      </w:tblPr>
      <w:tblGrid>
        <w:gridCol w:w="1927"/>
        <w:gridCol w:w="729"/>
        <w:gridCol w:w="729"/>
        <w:gridCol w:w="729"/>
        <w:gridCol w:w="729"/>
        <w:gridCol w:w="729"/>
        <w:gridCol w:w="729"/>
        <w:gridCol w:w="729"/>
        <w:gridCol w:w="729"/>
        <w:gridCol w:w="729"/>
        <w:gridCol w:w="729"/>
        <w:gridCol w:w="729"/>
        <w:gridCol w:w="729"/>
      </w:tblGrid>
      <w:tr w:rsidR="009D5D54" w:rsidRPr="00430923" w:rsidTr="00D73337">
        <w:trPr>
          <w:trHeight w:val="263"/>
        </w:trPr>
        <w:tc>
          <w:tcPr>
            <w:tcW w:w="892" w:type="pct"/>
            <w:vMerge w:val="restart"/>
            <w:tcBorders>
              <w:top w:val="single" w:sz="8" w:space="0" w:color="auto"/>
              <w:left w:val="single" w:sz="8" w:space="0" w:color="auto"/>
              <w:bottom w:val="nil"/>
              <w:right w:val="single" w:sz="4" w:space="0" w:color="000000"/>
            </w:tcBorders>
            <w:shd w:val="clear" w:color="auto" w:fill="auto"/>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Country/ Month</w:t>
            </w:r>
          </w:p>
        </w:tc>
        <w:tc>
          <w:tcPr>
            <w:tcW w:w="342" w:type="pct"/>
            <w:tcBorders>
              <w:top w:val="single" w:sz="8" w:space="0" w:color="auto"/>
              <w:left w:val="single" w:sz="8" w:space="0" w:color="auto"/>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2020</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single" w:sz="8" w:space="0" w:color="auto"/>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2021</w:t>
            </w:r>
          </w:p>
        </w:tc>
        <w:tc>
          <w:tcPr>
            <w:tcW w:w="342" w:type="pct"/>
            <w:tcBorders>
              <w:top w:val="single" w:sz="8" w:space="0" w:color="auto"/>
              <w:left w:val="nil"/>
              <w:bottom w:val="single" w:sz="8" w:space="0" w:color="auto"/>
              <w:right w:val="nil"/>
            </w:tcBorders>
            <w:shd w:val="clear" w:color="000000" w:fill="FFFFFF"/>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single" w:sz="8" w:space="0" w:color="auto"/>
            </w:tcBorders>
            <w:shd w:val="clear" w:color="000000" w:fill="FFFFFF"/>
            <w:noWrap/>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r>
      <w:tr w:rsidR="009D5D54" w:rsidRPr="00430923" w:rsidTr="00D73337">
        <w:trPr>
          <w:trHeight w:val="263"/>
        </w:trPr>
        <w:tc>
          <w:tcPr>
            <w:tcW w:w="892" w:type="pct"/>
            <w:vMerge/>
            <w:tcBorders>
              <w:top w:val="single" w:sz="8" w:space="0" w:color="auto"/>
              <w:left w:val="single" w:sz="8" w:space="0" w:color="auto"/>
              <w:bottom w:val="nil"/>
              <w:right w:val="single" w:sz="4" w:space="0" w:color="000000"/>
            </w:tcBorders>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Jul</w:t>
            </w:r>
          </w:p>
        </w:tc>
        <w:tc>
          <w:tcPr>
            <w:tcW w:w="342" w:type="pct"/>
            <w:tcBorders>
              <w:top w:val="nil"/>
              <w:left w:val="single" w:sz="8" w:space="0" w:color="auto"/>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Aug</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Sep</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Oct</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Nov</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Dec</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Jan</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Feb</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Mar</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Apr</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May</w:t>
            </w:r>
          </w:p>
        </w:tc>
        <w:tc>
          <w:tcPr>
            <w:tcW w:w="342" w:type="pct"/>
            <w:tcBorders>
              <w:top w:val="nil"/>
              <w:left w:val="nil"/>
              <w:bottom w:val="nil"/>
              <w:right w:val="single" w:sz="8" w:space="0" w:color="auto"/>
            </w:tcBorders>
            <w:shd w:val="clear" w:color="auto" w:fill="auto"/>
            <w:hideMark/>
          </w:tcPr>
          <w:p w:rsidR="009D5D54" w:rsidRPr="00430923" w:rsidRDefault="009D5D54" w:rsidP="00D73337">
            <w:pPr>
              <w:jc w:val="cente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Jun</w:t>
            </w:r>
          </w:p>
        </w:tc>
      </w:tr>
      <w:tr w:rsidR="009D5D54" w:rsidRPr="00430923" w:rsidTr="00D73337">
        <w:trPr>
          <w:trHeight w:val="250"/>
        </w:trPr>
        <w:tc>
          <w:tcPr>
            <w:tcW w:w="892" w:type="pct"/>
            <w:tcBorders>
              <w:top w:val="single" w:sz="8" w:space="0" w:color="auto"/>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Japan</w:t>
            </w:r>
          </w:p>
        </w:tc>
        <w:tc>
          <w:tcPr>
            <w:tcW w:w="342" w:type="pct"/>
            <w:tcBorders>
              <w:top w:val="single" w:sz="8" w:space="0" w:color="auto"/>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1293</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1278.4</w:t>
            </w:r>
          </w:p>
        </w:tc>
        <w:tc>
          <w:tcPr>
            <w:tcW w:w="342" w:type="pct"/>
            <w:tcBorders>
              <w:top w:val="single" w:sz="8" w:space="0" w:color="auto"/>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1276.2</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1273.1</w:t>
            </w:r>
          </w:p>
        </w:tc>
        <w:tc>
          <w:tcPr>
            <w:tcW w:w="342" w:type="pct"/>
            <w:tcBorders>
              <w:top w:val="single" w:sz="8" w:space="0" w:color="auto"/>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1260.8</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1251.3</w:t>
            </w:r>
          </w:p>
        </w:tc>
        <w:tc>
          <w:tcPr>
            <w:tcW w:w="342" w:type="pct"/>
            <w:tcBorders>
              <w:top w:val="single" w:sz="8" w:space="0" w:color="auto"/>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1276.7</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1258</w:t>
            </w:r>
          </w:p>
        </w:tc>
        <w:tc>
          <w:tcPr>
            <w:tcW w:w="342" w:type="pct"/>
            <w:tcBorders>
              <w:top w:val="single" w:sz="8" w:space="0" w:color="auto"/>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1240.3</w:t>
            </w:r>
          </w:p>
        </w:tc>
        <w:tc>
          <w:tcPr>
            <w:tcW w:w="342" w:type="pct"/>
            <w:tcBorders>
              <w:top w:val="single" w:sz="8" w:space="0" w:color="auto"/>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1276.8</w:t>
            </w:r>
          </w:p>
        </w:tc>
        <w:tc>
          <w:tcPr>
            <w:tcW w:w="342" w:type="pct"/>
            <w:tcBorders>
              <w:top w:val="single" w:sz="8" w:space="0" w:color="auto"/>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1266.2</w:t>
            </w:r>
          </w:p>
        </w:tc>
        <w:tc>
          <w:tcPr>
            <w:tcW w:w="342" w:type="pct"/>
            <w:tcBorders>
              <w:top w:val="single" w:sz="8" w:space="0" w:color="auto"/>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1277.3</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China, Mainland</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1073.4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1068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1061.7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1054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1063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1072.3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1095.2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1104.2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1100.4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1096.1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1078.4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1061.9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United Kingdom</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424.6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419.4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428.5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442.8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420.5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440.6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438.7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459.5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443.2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431.8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467.7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452.9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Ireland</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330.7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335.2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315.7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316.3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314.2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318.1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313.6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309.8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304.9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322.9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Luxembourg</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264.7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268.8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262.5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266.2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267.8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287.7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281.4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282.1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282.8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287.6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301.8</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Switzerland</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250.4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253.4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255.4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255.5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253.3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255.5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257.8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254.8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264.9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270.1</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Brazil</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265.7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265.1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262.9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262.2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258.3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260.4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255.5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255.3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251.8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Cayman Islands</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222.3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231.6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221.5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222.9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222.9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217.6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215.2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244.8</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Taiwan</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209.7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213.5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218.2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222.3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235.4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239.6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234.5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231.5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236.3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239.4</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Belgium</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211.8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214.9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218.1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239.5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240.5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253.5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248.2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236.7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235.8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234.8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236.4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228.5</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India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194.6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196.5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213.5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222.4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220.2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216.2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211.6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204.4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200</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208.7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215.8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220.2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Hong Kong</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262.7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246.7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241.7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226.6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223.8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224.1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223.9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215.9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224.1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219.2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Singapore</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158.6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160.3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159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163.8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168.1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164.3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161.4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170.2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171.1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176.3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188.1</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Korea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123.1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122.7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123.2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119.1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122.8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125.2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125.7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122.9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120.3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123.2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Saudi Arabia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124.6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131.2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134.2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137.6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136.4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135.1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132.9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127.8</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Canada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133.9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131.1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131.3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127.4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119.9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126.7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112.7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121.1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118.5</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Norway</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89.9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90.6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90.5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82.9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87.5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91.5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97.6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94.4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109.3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113.6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113.7</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France</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130</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133.3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135.1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136.9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132.4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111.3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122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108.7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114.9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107.8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109.5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112.9</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Germany</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78.2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78.7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74.7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74.2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75.4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74.8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73.5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77.6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77.8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77.1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81.6</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Bermuda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71.1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74.2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76.1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73.9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72.6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68.2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67.1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66.3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67.1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66.3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68.1</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Netherlands</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71.2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68.5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69.2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69.7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71.7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69.7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69.8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65.8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63.7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65.4</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Israel</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51.5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58.2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61.4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58.3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62.6</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United Arab Emirates</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33.1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32.2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33.8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57.3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60.8</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Thailand</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87.9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85.7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83.2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80</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82.2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80.6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66.9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59.8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56</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Poland</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52.6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52.5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54.1</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Philippines</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50.5</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Mexico</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52.7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49.4</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Kuwait</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46.6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Australia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45.2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Sweden</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37.7</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Italy</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43.5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44.2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36.5</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Vietnam</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32.6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33.2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Chile</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27.7</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27.3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Colombia</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30.6</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31.9</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32.4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30.6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35.2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35.1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35.8</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35.3</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All Other</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548.3</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533.3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533.4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518.5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507.2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501.8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493.4</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487.9</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483.6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472.7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481.7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485.7</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Grand Total</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7096.2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7082</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7069.2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7070.4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7051.2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7070.8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7119.6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7098.7</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7028.4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7070.3</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7135.4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7202.2</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 </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Of which:</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rPr>
                <w:rFonts w:ascii="Garamond" w:eastAsia="Times New Roman" w:hAnsi="Garamond" w:cs="Calibri"/>
                <w:b/>
                <w:bCs/>
                <w:color w:val="000000"/>
                <w:sz w:val="20"/>
                <w:szCs w:val="20"/>
                <w:lang w:val="en-IN" w:eastAsia="en-IN" w:bidi="hi-IN"/>
              </w:rPr>
            </w:pPr>
            <w:r w:rsidRPr="00430923">
              <w:rPr>
                <w:rFonts w:ascii="Garamond" w:eastAsia="Times New Roman" w:hAnsi="Garamond" w:cs="Calibri"/>
                <w:b/>
                <w:bCs/>
                <w:color w:val="000000"/>
                <w:sz w:val="20"/>
                <w:szCs w:val="20"/>
                <w:lang w:val="en-IN" w:eastAsia="en-IN" w:bidi="hi-IN"/>
              </w:rPr>
              <w:t> </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For. Official</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4191.2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4199.3</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4198.9</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4166.8</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4176.2</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4186.5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4224.6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4235.4</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4202.2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4201.6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4226.1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4239.4</w:t>
            </w:r>
          </w:p>
        </w:tc>
      </w:tr>
      <w:tr w:rsidR="009D5D54" w:rsidRPr="00430923" w:rsidTr="00D73337">
        <w:trPr>
          <w:trHeight w:val="250"/>
        </w:trPr>
        <w:tc>
          <w:tcPr>
            <w:tcW w:w="892" w:type="pct"/>
            <w:tcBorders>
              <w:top w:val="nil"/>
              <w:left w:val="single" w:sz="8" w:space="0" w:color="auto"/>
              <w:bottom w:val="nil"/>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Treasury Bills</w:t>
            </w:r>
          </w:p>
        </w:tc>
        <w:tc>
          <w:tcPr>
            <w:tcW w:w="342" w:type="pct"/>
            <w:tcBorders>
              <w:top w:val="nil"/>
              <w:left w:val="single" w:sz="8" w:space="0" w:color="auto"/>
              <w:bottom w:val="nil"/>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393.6</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385</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371.5</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375.4</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370.8</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361</w:t>
            </w:r>
          </w:p>
        </w:tc>
        <w:tc>
          <w:tcPr>
            <w:tcW w:w="342" w:type="pct"/>
            <w:tcBorders>
              <w:top w:val="nil"/>
              <w:left w:val="nil"/>
              <w:bottom w:val="nil"/>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378.1</w:t>
            </w:r>
          </w:p>
        </w:tc>
        <w:tc>
          <w:tcPr>
            <w:tcW w:w="342" w:type="pct"/>
            <w:tcBorders>
              <w:top w:val="nil"/>
              <w:left w:val="single" w:sz="8" w:space="0" w:color="auto"/>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406.2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360.6</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320.2</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296.1</w:t>
            </w:r>
          </w:p>
        </w:tc>
        <w:tc>
          <w:tcPr>
            <w:tcW w:w="342" w:type="pct"/>
            <w:tcBorders>
              <w:top w:val="nil"/>
              <w:left w:val="nil"/>
              <w:bottom w:val="nil"/>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278.2</w:t>
            </w:r>
          </w:p>
        </w:tc>
      </w:tr>
      <w:tr w:rsidR="009D5D54" w:rsidRPr="00430923" w:rsidTr="00D73337">
        <w:trPr>
          <w:trHeight w:val="263"/>
        </w:trPr>
        <w:tc>
          <w:tcPr>
            <w:tcW w:w="892" w:type="pct"/>
            <w:tcBorders>
              <w:top w:val="nil"/>
              <w:left w:val="single" w:sz="8" w:space="0" w:color="auto"/>
              <w:bottom w:val="single" w:sz="8" w:space="0" w:color="auto"/>
              <w:right w:val="nil"/>
            </w:tcBorders>
            <w:shd w:val="clear" w:color="auto" w:fill="auto"/>
            <w:noWrap/>
            <w:vAlign w:val="center"/>
            <w:hideMark/>
          </w:tcPr>
          <w:p w:rsidR="009D5D54" w:rsidRPr="00430923" w:rsidRDefault="009D5D54" w:rsidP="00D73337">
            <w:pPr>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T-Bonds &amp; Notes</w:t>
            </w:r>
          </w:p>
        </w:tc>
        <w:tc>
          <w:tcPr>
            <w:tcW w:w="342" w:type="pct"/>
            <w:tcBorders>
              <w:top w:val="nil"/>
              <w:left w:val="single" w:sz="8" w:space="0" w:color="auto"/>
              <w:bottom w:val="single" w:sz="8" w:space="0" w:color="auto"/>
              <w:right w:val="nil"/>
            </w:tcBorders>
            <w:shd w:val="clear" w:color="auto" w:fill="auto"/>
            <w:noWrap/>
            <w:vAlign w:val="center"/>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3797.6</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3814.3</w:t>
            </w:r>
          </w:p>
        </w:tc>
        <w:tc>
          <w:tcPr>
            <w:tcW w:w="342" w:type="pct"/>
            <w:tcBorders>
              <w:top w:val="nil"/>
              <w:left w:val="nil"/>
              <w:bottom w:val="single" w:sz="8" w:space="0" w:color="auto"/>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3827.4</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3791.3</w:t>
            </w:r>
          </w:p>
        </w:tc>
        <w:tc>
          <w:tcPr>
            <w:tcW w:w="342" w:type="pct"/>
            <w:tcBorders>
              <w:top w:val="nil"/>
              <w:left w:val="nil"/>
              <w:bottom w:val="single" w:sz="8" w:space="0" w:color="auto"/>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3805.4</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3825.6</w:t>
            </w:r>
          </w:p>
        </w:tc>
        <w:tc>
          <w:tcPr>
            <w:tcW w:w="342" w:type="pct"/>
            <w:tcBorders>
              <w:top w:val="nil"/>
              <w:left w:val="nil"/>
              <w:bottom w:val="single" w:sz="8" w:space="0" w:color="auto"/>
              <w:right w:val="nil"/>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3846.6</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3829.2</w:t>
            </w:r>
          </w:p>
        </w:tc>
        <w:tc>
          <w:tcPr>
            <w:tcW w:w="342" w:type="pct"/>
            <w:tcBorders>
              <w:top w:val="nil"/>
              <w:left w:val="nil"/>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3841.6</w:t>
            </w:r>
          </w:p>
        </w:tc>
        <w:tc>
          <w:tcPr>
            <w:tcW w:w="342" w:type="pct"/>
            <w:tcBorders>
              <w:top w:val="nil"/>
              <w:left w:val="nil"/>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3881.4</w:t>
            </w:r>
          </w:p>
        </w:tc>
        <w:tc>
          <w:tcPr>
            <w:tcW w:w="342" w:type="pct"/>
            <w:tcBorders>
              <w:top w:val="nil"/>
              <w:left w:val="nil"/>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3930</w:t>
            </w:r>
          </w:p>
        </w:tc>
        <w:tc>
          <w:tcPr>
            <w:tcW w:w="342" w:type="pct"/>
            <w:tcBorders>
              <w:top w:val="nil"/>
              <w:left w:val="nil"/>
              <w:bottom w:val="single" w:sz="8" w:space="0" w:color="auto"/>
              <w:right w:val="single" w:sz="8" w:space="0" w:color="auto"/>
            </w:tcBorders>
            <w:shd w:val="clear" w:color="auto" w:fill="auto"/>
            <w:noWrap/>
            <w:vAlign w:val="bottom"/>
            <w:hideMark/>
          </w:tcPr>
          <w:p w:rsidR="009D5D54" w:rsidRPr="00430923" w:rsidRDefault="009D5D54" w:rsidP="00D73337">
            <w:pPr>
              <w:jc w:val="right"/>
              <w:rPr>
                <w:rFonts w:ascii="Garamond" w:eastAsia="Times New Roman" w:hAnsi="Garamond" w:cs="Calibri"/>
                <w:color w:val="000000"/>
                <w:sz w:val="20"/>
                <w:szCs w:val="20"/>
                <w:lang w:val="en-IN" w:eastAsia="en-IN" w:bidi="hi-IN"/>
              </w:rPr>
            </w:pPr>
            <w:r w:rsidRPr="00430923">
              <w:rPr>
                <w:rFonts w:ascii="Garamond" w:eastAsia="Times New Roman" w:hAnsi="Garamond" w:cs="Calibri"/>
                <w:color w:val="000000"/>
                <w:sz w:val="20"/>
                <w:szCs w:val="20"/>
                <w:lang w:val="en-IN" w:eastAsia="en-IN" w:bidi="hi-IN"/>
              </w:rPr>
              <w:t>3961.2</w:t>
            </w:r>
          </w:p>
        </w:tc>
      </w:tr>
    </w:tbl>
    <w:p w:rsidR="009D5D54" w:rsidRPr="001D2656" w:rsidRDefault="009D5D54" w:rsidP="009D5D54">
      <w:pPr>
        <w:spacing w:line="23" w:lineRule="atLeast"/>
        <w:rPr>
          <w:rFonts w:ascii="Garamond" w:hAnsi="Garamond"/>
          <w:bCs/>
          <w:sz w:val="18"/>
          <w:szCs w:val="18"/>
        </w:rPr>
      </w:pPr>
      <w:r w:rsidRPr="001D2656">
        <w:rPr>
          <w:rFonts w:ascii="Garamond" w:hAnsi="Garamond"/>
          <w:bCs/>
          <w:sz w:val="18"/>
          <w:szCs w:val="18"/>
        </w:rPr>
        <w:t xml:space="preserve"> Note: </w:t>
      </w:r>
    </w:p>
    <w:p w:rsidR="009D5D54" w:rsidRPr="001D2656" w:rsidRDefault="009D5D54" w:rsidP="009D5D54">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 xml:space="preserve">Data available as on </w:t>
      </w:r>
      <w:r>
        <w:rPr>
          <w:rFonts w:ascii="Garamond" w:hAnsi="Garamond"/>
          <w:bCs/>
          <w:sz w:val="18"/>
          <w:szCs w:val="18"/>
          <w:lang w:val="en-US"/>
        </w:rPr>
        <w:t>16 August</w:t>
      </w:r>
      <w:r w:rsidRPr="001D2656">
        <w:rPr>
          <w:rFonts w:ascii="Garamond" w:hAnsi="Garamond"/>
          <w:bCs/>
          <w:sz w:val="18"/>
          <w:szCs w:val="18"/>
          <w:lang w:val="en-US"/>
        </w:rPr>
        <w:t xml:space="preserve"> 2021</w:t>
      </w:r>
    </w:p>
    <w:p w:rsidR="009D5D54" w:rsidRPr="001D2656" w:rsidRDefault="009D5D54" w:rsidP="009D5D54">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9D5D54" w:rsidRPr="001D2656" w:rsidRDefault="009D5D54" w:rsidP="009D5D54">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9D5D54" w:rsidRDefault="009D5D54" w:rsidP="009D5D54">
      <w:pPr>
        <w:spacing w:line="23" w:lineRule="atLeast"/>
        <w:rPr>
          <w:rFonts w:ascii="Garamond" w:hAnsi="Garamond"/>
          <w:bCs/>
          <w:sz w:val="18"/>
          <w:szCs w:val="18"/>
        </w:rPr>
      </w:pPr>
      <w:r w:rsidRPr="001D2656">
        <w:rPr>
          <w:rFonts w:ascii="Garamond" w:hAnsi="Garamond"/>
          <w:bCs/>
          <w:sz w:val="18"/>
          <w:szCs w:val="18"/>
        </w:rPr>
        <w:t>Source: Department of the Treasury/Federal Reserve Board</w:t>
      </w:r>
    </w:p>
    <w:p w:rsidR="000F236F" w:rsidRDefault="000F236F" w:rsidP="009D5D54">
      <w:pPr>
        <w:spacing w:line="23" w:lineRule="atLeast"/>
        <w:jc w:val="center"/>
        <w:rPr>
          <w:rFonts w:ascii="Palatino Linotype" w:hAnsi="Palatino Linotype" w:cs="Calibri"/>
          <w:b/>
          <w:sz w:val="28"/>
          <w:szCs w:val="28"/>
        </w:rPr>
      </w:pPr>
      <w:r w:rsidRPr="004752BB">
        <w:rPr>
          <w:rFonts w:ascii="Palatino Linotype" w:hAnsi="Palatino Linotype" w:cs="Calibri"/>
          <w:b/>
          <w:sz w:val="28"/>
          <w:szCs w:val="28"/>
        </w:rPr>
        <w:lastRenderedPageBreak/>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A22976" w:rsidRPr="00A22976" w:rsidRDefault="00A22976" w:rsidP="00A22976">
      <w:pPr>
        <w:rPr>
          <w:rFonts w:ascii="Palatino Linotype" w:hAnsi="Palatino Linotype" w:cstheme="minorBidi"/>
          <w:b/>
          <w:bCs/>
          <w:lang w:val="en-US"/>
        </w:rPr>
      </w:pPr>
      <w:r>
        <w:rPr>
          <w:rFonts w:ascii="Palatino Linotype" w:hAnsi="Palatino Linotype" w:cstheme="minorBidi"/>
          <w:b/>
          <w:bCs/>
          <w:lang w:val="en-US"/>
        </w:rPr>
        <w:t xml:space="preserve">1.   </w:t>
      </w:r>
      <w:r w:rsidRPr="00A22976">
        <w:rPr>
          <w:rFonts w:ascii="Palatino Linotype" w:hAnsi="Palatino Linotype" w:cstheme="minorBidi"/>
          <w:b/>
          <w:bCs/>
          <w:lang w:val="en-US"/>
        </w:rPr>
        <w:t>IOSCO consults on ESG Ratings and Data Providers</w:t>
      </w:r>
    </w:p>
    <w:p w:rsidR="002A68F6" w:rsidRPr="002A68F6" w:rsidRDefault="002A68F6" w:rsidP="002A68F6">
      <w:pPr>
        <w:spacing w:after="160" w:line="259" w:lineRule="auto"/>
        <w:ind w:left="720"/>
        <w:contextualSpacing/>
        <w:jc w:val="both"/>
        <w:rPr>
          <w:rFonts w:ascii="Palatino Linotype" w:hAnsi="Palatino Linotype" w:cstheme="minorBidi"/>
          <w:b/>
          <w:bCs/>
          <w:lang w:val="en-US"/>
        </w:rPr>
      </w:pPr>
    </w:p>
    <w:p w:rsidR="00A22976" w:rsidRPr="00A22976" w:rsidRDefault="00A22976" w:rsidP="00A22976">
      <w:pPr>
        <w:shd w:val="clear" w:color="auto" w:fill="FFFFFF"/>
        <w:jc w:val="both"/>
        <w:textAlignment w:val="baseline"/>
        <w:rPr>
          <w:rFonts w:ascii="Palatino Linotype" w:hAnsi="Palatino Linotype" w:cstheme="minorBidi"/>
          <w:lang w:val="en-US"/>
        </w:rPr>
      </w:pPr>
      <w:r w:rsidRPr="00A22976">
        <w:rPr>
          <w:rFonts w:ascii="Palatino Linotype" w:hAnsi="Palatino Linotype" w:cstheme="minorBidi"/>
          <w:lang w:val="en-US"/>
        </w:rPr>
        <w:t xml:space="preserve">The IOSCO has published a Consultation Report on ESG Ratings and Data Providers aimed at assisting its members in understanding implications of </w:t>
      </w:r>
      <w:r w:rsidR="008B37FC">
        <w:rPr>
          <w:rFonts w:ascii="Palatino Linotype" w:hAnsi="Palatino Linotype" w:cstheme="minorBidi"/>
          <w:lang w:val="en-US"/>
        </w:rPr>
        <w:t xml:space="preserve">these </w:t>
      </w:r>
      <w:r w:rsidRPr="00A22976">
        <w:rPr>
          <w:rFonts w:ascii="Palatino Linotype" w:hAnsi="Palatino Linotype" w:cstheme="minorBidi"/>
          <w:lang w:val="en-US"/>
        </w:rPr>
        <w:t>activities and in establishing frameworks to mitigate risks. Report has proposed a set of recommendations to mitigate these risks and address some of the challenges faced by users of products and services from ESG ratings and data providers, and concerned companies. Report has flagged lack of transparency about the methodologies underpinning ratings or data products and an often uneven coverage of products offered across industries.  IOSCO has observed that this could lead to gaps and inconsistencies when applied to investment strategies and raise concerns around the management of potential conflicts of interest.</w:t>
      </w:r>
    </w:p>
    <w:p w:rsidR="00A22976" w:rsidRDefault="00A22976" w:rsidP="00A22976">
      <w:pPr>
        <w:jc w:val="both"/>
        <w:rPr>
          <w:rFonts w:ascii="Palatino Linotype" w:hAnsi="Palatino Linotype" w:cs="Calibri"/>
          <w:b/>
        </w:rPr>
      </w:pPr>
    </w:p>
    <w:p w:rsidR="002A68F6" w:rsidRPr="006813C9" w:rsidRDefault="002A68F6" w:rsidP="00927CEF">
      <w:pPr>
        <w:jc w:val="both"/>
        <w:rPr>
          <w:rFonts w:ascii="Palatino Linotype" w:hAnsi="Palatino Linotype"/>
          <w:bCs/>
          <w:i/>
          <w:iCs/>
        </w:rPr>
      </w:pPr>
      <w:r w:rsidRPr="006813C9">
        <w:rPr>
          <w:rFonts w:ascii="Palatino Linotype" w:hAnsi="Palatino Linotype" w:cs="Calibri"/>
          <w:bCs/>
          <w:i/>
          <w:iCs/>
        </w:rPr>
        <w:t xml:space="preserve">Source:  </w:t>
      </w:r>
      <w:hyperlink r:id="rId46" w:history="1">
        <w:r w:rsidR="00927CEF" w:rsidRPr="006813C9">
          <w:rPr>
            <w:rStyle w:val="Hyperlink"/>
            <w:rFonts w:ascii="Palatino Linotype" w:hAnsi="Palatino Linotype"/>
            <w:bCs/>
            <w:i/>
            <w:iCs/>
            <w:color w:val="auto"/>
            <w:u w:val="none"/>
          </w:rPr>
          <w:t>https://www.iosco.org/news/pdf/IOSCONEWS613.pdf</w:t>
        </w:r>
      </w:hyperlink>
    </w:p>
    <w:p w:rsidR="00927CEF" w:rsidRPr="002A68F6" w:rsidRDefault="00927CEF" w:rsidP="00927CEF">
      <w:pPr>
        <w:jc w:val="both"/>
        <w:rPr>
          <w:rFonts w:ascii="Palatino Linotype" w:hAnsi="Palatino Linotype" w:cstheme="minorBidi"/>
          <w:lang w:val="en-US"/>
        </w:rPr>
      </w:pPr>
    </w:p>
    <w:p w:rsidR="00456C34" w:rsidRPr="00456C34" w:rsidRDefault="00456C34" w:rsidP="00456C34">
      <w:pPr>
        <w:rPr>
          <w:rFonts w:ascii="Palatino Linotype" w:hAnsi="Palatino Linotype" w:cstheme="minorBidi"/>
          <w:b/>
          <w:bCs/>
          <w:lang w:val="en-US"/>
        </w:rPr>
      </w:pPr>
      <w:r>
        <w:rPr>
          <w:rFonts w:ascii="Palatino Linotype" w:hAnsi="Palatino Linotype" w:cstheme="minorBidi"/>
          <w:b/>
          <w:bCs/>
          <w:lang w:val="en-US"/>
        </w:rPr>
        <w:t xml:space="preserve">2. </w:t>
      </w:r>
      <w:r w:rsidRPr="00456C34">
        <w:rPr>
          <w:rFonts w:ascii="Palatino Linotype" w:hAnsi="Palatino Linotype" w:cstheme="minorBidi"/>
          <w:b/>
          <w:bCs/>
          <w:lang w:val="en-US"/>
        </w:rPr>
        <w:t>CPMI-IOSCO publishes report on  FMIs’ business continuity planning</w:t>
      </w:r>
    </w:p>
    <w:p w:rsidR="002A68F6" w:rsidRPr="002A68F6" w:rsidRDefault="002A68F6" w:rsidP="002A68F6">
      <w:pPr>
        <w:spacing w:after="160" w:line="259" w:lineRule="auto"/>
        <w:ind w:left="720"/>
        <w:contextualSpacing/>
        <w:jc w:val="both"/>
        <w:rPr>
          <w:rFonts w:ascii="Palatino Linotype" w:hAnsi="Palatino Linotype" w:cstheme="minorBidi"/>
          <w:b/>
          <w:bCs/>
          <w:lang w:val="en-US"/>
        </w:rPr>
      </w:pPr>
    </w:p>
    <w:p w:rsidR="00456C34" w:rsidRDefault="00456C34" w:rsidP="002A68F6">
      <w:pPr>
        <w:jc w:val="both"/>
        <w:rPr>
          <w:rFonts w:ascii="Palatino Linotype" w:hAnsi="Palatino Linotype" w:cstheme="minorBidi"/>
          <w:lang w:val="en-US"/>
        </w:rPr>
      </w:pPr>
      <w:r w:rsidRPr="00456C34">
        <w:rPr>
          <w:rFonts w:ascii="Palatino Linotype" w:hAnsi="Palatino Linotype" w:cstheme="minorBidi"/>
          <w:lang w:val="en-US"/>
        </w:rPr>
        <w:t xml:space="preserve">Committee on Payments and Market Infrastructures (CPMI) and IOSCO </w:t>
      </w:r>
      <w:r w:rsidR="008B37FC" w:rsidRPr="00456C34">
        <w:rPr>
          <w:rFonts w:ascii="Palatino Linotype" w:hAnsi="Palatino Linotype" w:cstheme="minorBidi"/>
          <w:lang w:val="en-US"/>
        </w:rPr>
        <w:t>has published</w:t>
      </w:r>
      <w:r w:rsidRPr="00456C34">
        <w:rPr>
          <w:rFonts w:ascii="Palatino Linotype" w:hAnsi="Palatino Linotype" w:cstheme="minorBidi"/>
          <w:lang w:val="en-US"/>
        </w:rPr>
        <w:t xml:space="preserve"> a report on financial market infrastructures (</w:t>
      </w:r>
      <w:r w:rsidR="008B37FC" w:rsidRPr="00456C34">
        <w:rPr>
          <w:rFonts w:ascii="Palatino Linotype" w:hAnsi="Palatino Linotype" w:cstheme="minorBidi"/>
          <w:lang w:val="en-US"/>
        </w:rPr>
        <w:t>FMIs’)</w:t>
      </w:r>
      <w:r w:rsidRPr="00456C34">
        <w:rPr>
          <w:rFonts w:ascii="Palatino Linotype" w:hAnsi="Palatino Linotype" w:cstheme="minorBidi"/>
          <w:lang w:val="en-US"/>
        </w:rPr>
        <w:t xml:space="preserve"> business continuity planning. The report finds that all the surveyed FMIs have operational reliability objectives, focussing on system availability and recovery time. FMIs reportedly review their business continuity plans at least annually and test them regularly. However, the report found that some FMIs do not fully meet expectations with respect to recovery from operational incidents, such as natural disasters or IT systems outage. In particular, the business continuity management of some, and potentially many, FMIs do not seem to aim to resume operations in a timely way, including in the event of a widescale or major disruption. </w:t>
      </w:r>
    </w:p>
    <w:p w:rsidR="00456C34" w:rsidRDefault="00456C34" w:rsidP="002A68F6">
      <w:pPr>
        <w:jc w:val="both"/>
        <w:rPr>
          <w:rFonts w:ascii="Palatino Linotype" w:hAnsi="Palatino Linotype" w:cstheme="minorBidi"/>
          <w:lang w:val="en-US"/>
        </w:rPr>
      </w:pPr>
    </w:p>
    <w:p w:rsidR="002A68F6" w:rsidRPr="006813C9" w:rsidRDefault="002A68F6" w:rsidP="002A68F6">
      <w:pPr>
        <w:jc w:val="both"/>
        <w:rPr>
          <w:rStyle w:val="Hyperlink"/>
          <w:bCs/>
          <w:i/>
          <w:iCs/>
          <w:color w:val="auto"/>
          <w:u w:val="none"/>
        </w:rPr>
      </w:pPr>
      <w:r w:rsidRPr="006813C9">
        <w:rPr>
          <w:rFonts w:ascii="Palatino Linotype" w:hAnsi="Palatino Linotype" w:cs="Calibri"/>
          <w:bCs/>
          <w:i/>
          <w:iCs/>
        </w:rPr>
        <w:t xml:space="preserve">Source: </w:t>
      </w:r>
      <w:r w:rsidR="00927CEF" w:rsidRPr="006813C9">
        <w:rPr>
          <w:rStyle w:val="Hyperlink"/>
          <w:rFonts w:ascii="Palatino Linotype" w:hAnsi="Palatino Linotype"/>
          <w:bCs/>
          <w:i/>
          <w:iCs/>
          <w:color w:val="auto"/>
          <w:u w:val="none"/>
        </w:rPr>
        <w:t>https://www.iosco.org/news/pdf/IOSCONEWS612.pdf</w:t>
      </w:r>
    </w:p>
    <w:p w:rsidR="002A68F6" w:rsidRPr="002A68F6" w:rsidRDefault="002A68F6" w:rsidP="002A68F6">
      <w:pPr>
        <w:jc w:val="both"/>
        <w:rPr>
          <w:rFonts w:ascii="Palatino Linotype" w:hAnsi="Palatino Linotype" w:cs="Calibri"/>
          <w:b/>
        </w:rPr>
      </w:pPr>
    </w:p>
    <w:p w:rsidR="00456C34" w:rsidRPr="00456C34" w:rsidRDefault="00456C34" w:rsidP="00456C34">
      <w:pPr>
        <w:rPr>
          <w:rFonts w:ascii="Palatino Linotype" w:hAnsi="Palatino Linotype" w:cstheme="minorBidi"/>
          <w:b/>
          <w:bCs/>
          <w:lang w:val="en-US"/>
        </w:rPr>
      </w:pPr>
      <w:r>
        <w:rPr>
          <w:rFonts w:ascii="Palatino Linotype" w:hAnsi="Palatino Linotype" w:cstheme="minorBidi"/>
          <w:b/>
          <w:bCs/>
          <w:lang w:val="en-US"/>
        </w:rPr>
        <w:t xml:space="preserve">3.  </w:t>
      </w:r>
      <w:r w:rsidRPr="00456C34">
        <w:rPr>
          <w:rFonts w:ascii="Palatino Linotype" w:hAnsi="Palatino Linotype" w:cstheme="minorBidi"/>
          <w:b/>
          <w:bCs/>
          <w:lang w:val="en-US"/>
        </w:rPr>
        <w:t>FCA publishes final rules to strengthen investor protections in SPACs</w:t>
      </w:r>
    </w:p>
    <w:p w:rsidR="002A68F6" w:rsidRPr="002A68F6" w:rsidRDefault="002A68F6" w:rsidP="002A68F6">
      <w:pPr>
        <w:spacing w:after="160" w:line="259" w:lineRule="auto"/>
        <w:ind w:left="720"/>
        <w:contextualSpacing/>
        <w:jc w:val="both"/>
        <w:rPr>
          <w:rFonts w:ascii="Palatino Linotype" w:hAnsi="Palatino Linotype" w:cstheme="minorBidi"/>
          <w:b/>
          <w:bCs/>
          <w:lang w:val="en-US"/>
        </w:rPr>
      </w:pPr>
    </w:p>
    <w:p w:rsidR="00456C34" w:rsidRPr="00456C34" w:rsidRDefault="00456C34" w:rsidP="00456C34">
      <w:pPr>
        <w:shd w:val="clear" w:color="auto" w:fill="FFFFFF"/>
        <w:spacing w:before="100" w:beforeAutospacing="1" w:after="100" w:afterAutospacing="1"/>
        <w:jc w:val="both"/>
        <w:rPr>
          <w:rFonts w:ascii="Palatino Linotype" w:hAnsi="Palatino Linotype" w:cstheme="minorBidi"/>
          <w:lang w:val="en-US"/>
        </w:rPr>
      </w:pPr>
      <w:r w:rsidRPr="00456C34">
        <w:rPr>
          <w:rFonts w:ascii="Palatino Linotype" w:hAnsi="Palatino Linotype" w:cstheme="minorBidi"/>
          <w:lang w:val="en-US"/>
        </w:rPr>
        <w:t xml:space="preserve">FCA has published final rules and changes to its Listing Rules for certain special purpose acquisition companies (SPACs). The final rules aim to provide more flexibility to larger SPACs, provided they embed certain features that promote investor protection and smooth operation. The additional investor safeguards required from SPACs include ‘redemption’ option allowing investors to exit a SPAC prior to any acquisition being completed, ensuring money raised from public shareholders is ring-fenced , requiring shareholder approval for any </w:t>
      </w:r>
      <w:r w:rsidRPr="00456C34">
        <w:rPr>
          <w:rFonts w:ascii="Palatino Linotype" w:hAnsi="Palatino Linotype" w:cstheme="minorBidi"/>
          <w:lang w:val="en-US"/>
        </w:rPr>
        <w:lastRenderedPageBreak/>
        <w:t>proposed acquisition and a time limit on a SPAC’s operating period if no acquisition is completed. The minimum amount a SPAC would need to raise at initial listing is £100 million. The new rules and guidance come into force on 10 August 2021</w:t>
      </w:r>
      <w:r>
        <w:rPr>
          <w:rFonts w:ascii="Palatino Linotype" w:hAnsi="Palatino Linotype" w:cstheme="minorBidi"/>
          <w:lang w:val="en-US"/>
        </w:rPr>
        <w:t>.</w:t>
      </w:r>
    </w:p>
    <w:p w:rsidR="002A68F6" w:rsidRPr="006813C9" w:rsidRDefault="002A68F6" w:rsidP="002A68F6">
      <w:pPr>
        <w:shd w:val="clear" w:color="auto" w:fill="FFFFFF"/>
        <w:spacing w:after="150"/>
        <w:textAlignment w:val="baseline"/>
        <w:rPr>
          <w:rStyle w:val="Hyperlink"/>
          <w:rFonts w:ascii="Palatino Linotype" w:hAnsi="Palatino Linotype"/>
          <w:bCs/>
          <w:i/>
          <w:iCs/>
          <w:color w:val="auto"/>
          <w:u w:val="none"/>
        </w:rPr>
      </w:pPr>
      <w:r w:rsidRPr="006813C9">
        <w:rPr>
          <w:rFonts w:ascii="Palatino Linotype" w:hAnsi="Palatino Linotype" w:cs="Calibri"/>
          <w:bCs/>
          <w:i/>
          <w:iCs/>
        </w:rPr>
        <w:t xml:space="preserve">Source:  </w:t>
      </w:r>
      <w:hyperlink r:id="rId47" w:history="1">
        <w:r w:rsidR="00927CEF" w:rsidRPr="006813C9">
          <w:rPr>
            <w:rStyle w:val="Hyperlink"/>
            <w:rFonts w:ascii="Palatino Linotype" w:hAnsi="Palatino Linotype"/>
            <w:bCs/>
            <w:i/>
            <w:iCs/>
            <w:color w:val="auto"/>
            <w:u w:val="none"/>
          </w:rPr>
          <w:t>https://www.fca.org.uk/news/news-stories/fca-publishes-final-rules-to-strengthen-investor-protections-in-spacs</w:t>
        </w:r>
      </w:hyperlink>
    </w:p>
    <w:p w:rsidR="00927CEF" w:rsidRPr="00927CEF" w:rsidRDefault="00927CEF" w:rsidP="002A68F6">
      <w:pPr>
        <w:shd w:val="clear" w:color="auto" w:fill="FFFFFF"/>
        <w:spacing w:after="150"/>
        <w:textAlignment w:val="baseline"/>
        <w:rPr>
          <w:rStyle w:val="Hyperlink"/>
          <w:color w:val="auto"/>
          <w:u w:val="none"/>
        </w:rPr>
      </w:pPr>
    </w:p>
    <w:p w:rsidR="00456C34" w:rsidRPr="00456C34" w:rsidRDefault="00456C34" w:rsidP="00456C34">
      <w:pPr>
        <w:rPr>
          <w:rFonts w:ascii="Palatino Linotype" w:hAnsi="Palatino Linotype" w:cstheme="minorBidi"/>
          <w:b/>
          <w:bCs/>
          <w:lang w:val="en-US"/>
        </w:rPr>
      </w:pPr>
      <w:r>
        <w:rPr>
          <w:rFonts w:ascii="Palatino Linotype" w:hAnsi="Palatino Linotype" w:cstheme="minorBidi"/>
          <w:b/>
          <w:bCs/>
          <w:lang w:val="en-US"/>
        </w:rPr>
        <w:t xml:space="preserve">4.  </w:t>
      </w:r>
      <w:r w:rsidRPr="00456C34">
        <w:rPr>
          <w:rFonts w:ascii="Palatino Linotype" w:hAnsi="Palatino Linotype" w:cstheme="minorBidi"/>
          <w:b/>
          <w:bCs/>
          <w:lang w:val="en-US"/>
        </w:rPr>
        <w:t>FCA launches consultation on board diversity disclosures</w:t>
      </w:r>
    </w:p>
    <w:p w:rsidR="002A68F6" w:rsidRPr="002A68F6" w:rsidRDefault="002A68F6" w:rsidP="002A68F6">
      <w:pPr>
        <w:spacing w:after="160" w:line="259" w:lineRule="auto"/>
        <w:ind w:left="720"/>
        <w:contextualSpacing/>
        <w:jc w:val="both"/>
        <w:rPr>
          <w:rFonts w:ascii="Palatino Linotype" w:hAnsi="Palatino Linotype" w:cstheme="minorBidi"/>
          <w:b/>
          <w:bCs/>
          <w:lang w:val="en-US"/>
        </w:rPr>
      </w:pPr>
    </w:p>
    <w:p w:rsidR="00456C34" w:rsidRPr="00456C34" w:rsidRDefault="00456C34" w:rsidP="00456C34">
      <w:pPr>
        <w:shd w:val="clear" w:color="auto" w:fill="FFFFFF"/>
        <w:spacing w:after="150"/>
        <w:jc w:val="both"/>
        <w:textAlignment w:val="baseline"/>
        <w:outlineLvl w:val="0"/>
        <w:rPr>
          <w:rFonts w:ascii="Palatino Linotype" w:hAnsi="Palatino Linotype" w:cstheme="minorBidi"/>
          <w:lang w:val="en-US"/>
        </w:rPr>
      </w:pPr>
      <w:r w:rsidRPr="00456C34">
        <w:rPr>
          <w:rFonts w:ascii="Palatino Linotype" w:hAnsi="Palatino Linotype" w:cstheme="minorBidi"/>
          <w:lang w:val="en-US"/>
        </w:rPr>
        <w:t xml:space="preserve">The FCA is consulting on changes to its Listing Rules to require listed companies to publish annually: </w:t>
      </w:r>
    </w:p>
    <w:p w:rsidR="00456C34" w:rsidRPr="00456C34" w:rsidRDefault="00456C34" w:rsidP="00456C34">
      <w:pPr>
        <w:shd w:val="clear" w:color="auto" w:fill="FFFFFF"/>
        <w:spacing w:after="150"/>
        <w:jc w:val="both"/>
        <w:textAlignment w:val="baseline"/>
        <w:outlineLvl w:val="0"/>
        <w:rPr>
          <w:rFonts w:ascii="Palatino Linotype" w:hAnsi="Palatino Linotype" w:cstheme="minorBidi"/>
          <w:lang w:val="en-US"/>
        </w:rPr>
      </w:pPr>
      <w:r w:rsidRPr="00456C34">
        <w:rPr>
          <w:rFonts w:ascii="Palatino Linotype" w:hAnsi="Palatino Linotype" w:cstheme="minorBidi"/>
          <w:lang w:val="en-US"/>
        </w:rPr>
        <w:t xml:space="preserve">•A ‘comply or explain statement’ on whether they have achieved certain proposed </w:t>
      </w:r>
      <w:r w:rsidR="008B37FC" w:rsidRPr="00456C34">
        <w:rPr>
          <w:rFonts w:ascii="Palatino Linotype" w:hAnsi="Palatino Linotype" w:cstheme="minorBidi"/>
          <w:lang w:val="en-US"/>
        </w:rPr>
        <w:t>targets for</w:t>
      </w:r>
      <w:r w:rsidRPr="00456C34">
        <w:rPr>
          <w:rFonts w:ascii="Palatino Linotype" w:hAnsi="Palatino Linotype" w:cstheme="minorBidi"/>
          <w:lang w:val="en-US"/>
        </w:rPr>
        <w:t xml:space="preserve"> gender and ethnic minority representation on their boards, and </w:t>
      </w:r>
    </w:p>
    <w:p w:rsidR="00456C34" w:rsidRPr="00456C34" w:rsidRDefault="00456C34" w:rsidP="00456C34">
      <w:pPr>
        <w:shd w:val="clear" w:color="auto" w:fill="FFFFFF"/>
        <w:spacing w:after="150"/>
        <w:jc w:val="both"/>
        <w:textAlignment w:val="baseline"/>
        <w:outlineLvl w:val="0"/>
        <w:rPr>
          <w:rFonts w:ascii="Palatino Linotype" w:hAnsi="Palatino Linotype" w:cstheme="minorBidi"/>
          <w:lang w:val="en-US"/>
        </w:rPr>
      </w:pPr>
      <w:r w:rsidRPr="00456C34">
        <w:rPr>
          <w:rFonts w:ascii="Palatino Linotype" w:hAnsi="Palatino Linotype" w:cstheme="minorBidi"/>
          <w:lang w:val="en-US"/>
        </w:rPr>
        <w:t>•</w:t>
      </w:r>
      <w:r w:rsidRPr="00456C34">
        <w:rPr>
          <w:rFonts w:ascii="Palatino Linotype" w:hAnsi="Palatino Linotype" w:cstheme="minorBidi"/>
          <w:lang w:val="en-US"/>
        </w:rPr>
        <w:tab/>
        <w:t xml:space="preserve">As part of the same annual disclosure obligation, data on the make-up of their board and most senior level of executive management in terms of gender and ethnicity  </w:t>
      </w:r>
    </w:p>
    <w:p w:rsidR="002A68F6" w:rsidRPr="00456C34" w:rsidRDefault="00456C34" w:rsidP="00456C34">
      <w:pPr>
        <w:shd w:val="clear" w:color="auto" w:fill="FFFFFF"/>
        <w:spacing w:after="150"/>
        <w:jc w:val="both"/>
        <w:textAlignment w:val="baseline"/>
        <w:outlineLvl w:val="0"/>
        <w:rPr>
          <w:rFonts w:ascii="Palatino Linotype" w:hAnsi="Palatino Linotype" w:cstheme="minorBidi"/>
          <w:lang w:val="en-US"/>
        </w:rPr>
      </w:pPr>
      <w:r w:rsidRPr="00456C34">
        <w:rPr>
          <w:rFonts w:ascii="Palatino Linotype" w:hAnsi="Palatino Linotype" w:cstheme="minorBidi"/>
          <w:lang w:val="en-US"/>
        </w:rPr>
        <w:t>The Listing Rule diversity targets are not mandatory for companies to meet, so the FCA is not setting ‘quotas’, but providing a positive benchmark for issuers to report against.</w:t>
      </w:r>
    </w:p>
    <w:p w:rsidR="002A68F6" w:rsidRPr="006813C9" w:rsidRDefault="002A68F6" w:rsidP="002A68F6">
      <w:pPr>
        <w:shd w:val="clear" w:color="auto" w:fill="FFFFFF"/>
        <w:spacing w:after="150"/>
        <w:textAlignment w:val="baseline"/>
        <w:rPr>
          <w:rFonts w:ascii="Palatino Linotype" w:hAnsi="Palatino Linotype" w:cs="Calibri"/>
          <w:bCs/>
          <w:i/>
          <w:iCs/>
        </w:rPr>
      </w:pPr>
      <w:r w:rsidRPr="006813C9">
        <w:rPr>
          <w:rFonts w:ascii="Palatino Linotype" w:hAnsi="Palatino Linotype" w:cs="Calibri"/>
          <w:bCs/>
          <w:i/>
          <w:iCs/>
        </w:rPr>
        <w:t xml:space="preserve">Source:  </w:t>
      </w:r>
      <w:r w:rsidR="00D95495" w:rsidRPr="006813C9">
        <w:rPr>
          <w:rFonts w:ascii="Palatino Linotype" w:hAnsi="Palatino Linotype" w:cs="Calibri"/>
          <w:bCs/>
          <w:i/>
          <w:iCs/>
        </w:rPr>
        <w:t>https://www.fca.org.uk/news/press-releases/fca-consults-proposals-boost-disclosure-diversity-listed-company-boards-executive-committees</w:t>
      </w:r>
    </w:p>
    <w:p w:rsidR="00D95495" w:rsidRDefault="00D95495" w:rsidP="00456C34">
      <w:pPr>
        <w:rPr>
          <w:rFonts w:ascii="Palatino Linotype" w:hAnsi="Palatino Linotype" w:cstheme="minorBidi"/>
          <w:b/>
          <w:bCs/>
          <w:lang w:val="en-US"/>
        </w:rPr>
      </w:pPr>
    </w:p>
    <w:p w:rsidR="00456C34" w:rsidRPr="00456C34" w:rsidRDefault="00456C34" w:rsidP="00456C34">
      <w:pPr>
        <w:rPr>
          <w:rFonts w:ascii="Palatino Linotype" w:hAnsi="Palatino Linotype" w:cstheme="minorBidi"/>
          <w:b/>
          <w:bCs/>
          <w:lang w:val="en-US"/>
        </w:rPr>
      </w:pPr>
      <w:r>
        <w:rPr>
          <w:rFonts w:ascii="Palatino Linotype" w:hAnsi="Palatino Linotype" w:cstheme="minorBidi"/>
          <w:b/>
          <w:bCs/>
          <w:lang w:val="en-US"/>
        </w:rPr>
        <w:t xml:space="preserve">5. </w:t>
      </w:r>
      <w:r w:rsidRPr="00456C34">
        <w:rPr>
          <w:rFonts w:ascii="Palatino Linotype" w:hAnsi="Palatino Linotype" w:cstheme="minorBidi"/>
          <w:b/>
          <w:bCs/>
          <w:lang w:val="en-US"/>
        </w:rPr>
        <w:t>FSB urges action to complete transition way from LIBOR by end -2021</w:t>
      </w:r>
    </w:p>
    <w:p w:rsidR="002A68F6" w:rsidRPr="002A68F6" w:rsidRDefault="002A68F6" w:rsidP="002A68F6">
      <w:pPr>
        <w:spacing w:after="160" w:line="259" w:lineRule="auto"/>
        <w:ind w:left="720"/>
        <w:contextualSpacing/>
        <w:jc w:val="both"/>
        <w:rPr>
          <w:rFonts w:ascii="Palatino Linotype" w:hAnsi="Palatino Linotype" w:cstheme="minorBidi"/>
          <w:b/>
          <w:bCs/>
          <w:lang w:val="en-US"/>
        </w:rPr>
      </w:pPr>
    </w:p>
    <w:p w:rsidR="002A68F6" w:rsidRDefault="00456C34" w:rsidP="00456C34">
      <w:pPr>
        <w:shd w:val="clear" w:color="auto" w:fill="FFFFFF"/>
        <w:spacing w:line="276" w:lineRule="auto"/>
        <w:jc w:val="both"/>
        <w:textAlignment w:val="baseline"/>
        <w:rPr>
          <w:rFonts w:ascii="Palatino Linotype" w:hAnsi="Palatino Linotype" w:cstheme="minorBidi"/>
          <w:lang w:val="en-US"/>
        </w:rPr>
      </w:pPr>
      <w:r w:rsidRPr="00456C34">
        <w:rPr>
          <w:rFonts w:ascii="Palatino Linotype" w:hAnsi="Palatino Linotype" w:cstheme="minorBidi"/>
          <w:lang w:val="en-US"/>
        </w:rPr>
        <w:t>The Financial Stability Board (FSB) has published a progress report to the G20 on LIBOR transition and remaining issues. With timelines for cessation of LIBOR panels now confirmed, FSB has urged market participants and authorities to cease new use of LIBOR in all currencies as soon as practicable, and</w:t>
      </w:r>
      <w:r w:rsidR="008B37FC">
        <w:rPr>
          <w:rFonts w:ascii="Palatino Linotype" w:hAnsi="Palatino Linotype" w:cstheme="minorBidi"/>
          <w:lang w:val="en-US"/>
        </w:rPr>
        <w:t xml:space="preserve"> </w:t>
      </w:r>
      <w:r w:rsidRPr="00456C34">
        <w:rPr>
          <w:rFonts w:ascii="Palatino Linotype" w:hAnsi="Palatino Linotype" w:cstheme="minorBidi"/>
          <w:lang w:val="en-US"/>
        </w:rPr>
        <w:t>no later than the end of 2021.Supervisory authorities should step up their efforts for active and adequate communication to increase awareness of the scope and urgency of relevant IBOR transitions for all clients.</w:t>
      </w:r>
    </w:p>
    <w:p w:rsidR="00456C34" w:rsidRPr="00456C34" w:rsidRDefault="00456C34" w:rsidP="00456C34">
      <w:pPr>
        <w:shd w:val="clear" w:color="auto" w:fill="FFFFFF"/>
        <w:spacing w:line="276" w:lineRule="auto"/>
        <w:jc w:val="both"/>
        <w:textAlignment w:val="baseline"/>
        <w:rPr>
          <w:rFonts w:ascii="Palatino Linotype" w:hAnsi="Palatino Linotype" w:cstheme="minorBidi"/>
          <w:lang w:val="en-US"/>
        </w:rPr>
      </w:pPr>
    </w:p>
    <w:p w:rsidR="002A68F6" w:rsidRPr="006813C9" w:rsidRDefault="002A68F6" w:rsidP="002A68F6">
      <w:pPr>
        <w:shd w:val="clear" w:color="auto" w:fill="FFFFFF"/>
        <w:spacing w:after="150"/>
        <w:textAlignment w:val="baseline"/>
        <w:rPr>
          <w:rFonts w:ascii="Palatino Linotype" w:hAnsi="Palatino Linotype" w:cs="Calibri"/>
          <w:bCs/>
          <w:i/>
          <w:iCs/>
        </w:rPr>
      </w:pPr>
      <w:r w:rsidRPr="006813C9">
        <w:rPr>
          <w:rFonts w:ascii="Palatino Linotype" w:hAnsi="Palatino Linotype" w:cs="Calibri"/>
          <w:bCs/>
          <w:i/>
          <w:iCs/>
        </w:rPr>
        <w:t xml:space="preserve">Source:  </w:t>
      </w:r>
      <w:hyperlink r:id="rId48" w:history="1">
        <w:r w:rsidR="00D95495" w:rsidRPr="006813C9">
          <w:rPr>
            <w:rStyle w:val="Hyperlink"/>
            <w:rFonts w:ascii="Palatino Linotype" w:hAnsi="Palatino Linotype" w:cs="Calibri"/>
            <w:bCs/>
            <w:i/>
            <w:iCs/>
            <w:color w:val="auto"/>
            <w:u w:val="none"/>
          </w:rPr>
          <w:t>https://www.fsb.org/2021/07/fsb-urges-action-to-complete-the-transition-away-from-libor-by-end-2021/</w:t>
        </w:r>
      </w:hyperlink>
    </w:p>
    <w:p w:rsidR="00D95495" w:rsidRDefault="00D95495" w:rsidP="002A68F6">
      <w:pPr>
        <w:shd w:val="clear" w:color="auto" w:fill="FFFFFF"/>
        <w:spacing w:after="150"/>
        <w:textAlignment w:val="baseline"/>
        <w:rPr>
          <w:rFonts w:ascii="Palatino Linotype" w:hAnsi="Palatino Linotype" w:cs="Calibri"/>
          <w:b/>
        </w:rPr>
      </w:pPr>
    </w:p>
    <w:p w:rsidR="006813C9" w:rsidRDefault="006813C9" w:rsidP="002A68F6">
      <w:pPr>
        <w:shd w:val="clear" w:color="auto" w:fill="FFFFFF"/>
        <w:spacing w:after="150"/>
        <w:textAlignment w:val="baseline"/>
        <w:rPr>
          <w:rFonts w:ascii="Palatino Linotype" w:hAnsi="Palatino Linotype" w:cs="Calibri"/>
          <w:b/>
        </w:rPr>
      </w:pPr>
    </w:p>
    <w:p w:rsidR="006813C9" w:rsidRPr="002A68F6" w:rsidRDefault="006813C9" w:rsidP="002A68F6">
      <w:pPr>
        <w:shd w:val="clear" w:color="auto" w:fill="FFFFFF"/>
        <w:spacing w:after="150"/>
        <w:textAlignment w:val="baseline"/>
        <w:rPr>
          <w:rFonts w:ascii="Palatino Linotype" w:hAnsi="Palatino Linotype" w:cs="Calibri"/>
          <w:b/>
        </w:rPr>
      </w:pPr>
    </w:p>
    <w:p w:rsidR="00456C34" w:rsidRPr="00456C34" w:rsidRDefault="00456C34" w:rsidP="00456C34">
      <w:pPr>
        <w:rPr>
          <w:rFonts w:ascii="Palatino Linotype" w:hAnsi="Palatino Linotype" w:cstheme="minorBidi"/>
          <w:b/>
          <w:bCs/>
          <w:lang w:val="en-US"/>
        </w:rPr>
      </w:pPr>
      <w:r>
        <w:rPr>
          <w:rFonts w:ascii="Palatino Linotype" w:hAnsi="Palatino Linotype" w:cstheme="minorBidi"/>
          <w:b/>
          <w:bCs/>
          <w:lang w:val="en-US"/>
        </w:rPr>
        <w:lastRenderedPageBreak/>
        <w:t xml:space="preserve">6. </w:t>
      </w:r>
      <w:r w:rsidRPr="00456C34">
        <w:rPr>
          <w:rFonts w:ascii="Palatino Linotype" w:hAnsi="Palatino Linotype" w:cstheme="minorBidi"/>
          <w:b/>
          <w:bCs/>
          <w:lang w:val="en-US"/>
        </w:rPr>
        <w:tab/>
        <w:t>FSB publishes interim report on lessons for financial stability from Covid experience</w:t>
      </w:r>
    </w:p>
    <w:p w:rsidR="00456C34" w:rsidRPr="002A68F6" w:rsidRDefault="00456C34" w:rsidP="00456C34">
      <w:pPr>
        <w:spacing w:after="160" w:line="259" w:lineRule="auto"/>
        <w:ind w:left="720"/>
        <w:contextualSpacing/>
        <w:jc w:val="both"/>
        <w:rPr>
          <w:rFonts w:ascii="Palatino Linotype" w:hAnsi="Palatino Linotype" w:cstheme="minorBidi"/>
          <w:b/>
          <w:bCs/>
          <w:lang w:val="en-US"/>
        </w:rPr>
      </w:pPr>
    </w:p>
    <w:p w:rsidR="00456C34" w:rsidRPr="00456C34" w:rsidRDefault="00456C34" w:rsidP="00456C34">
      <w:pPr>
        <w:spacing w:after="240"/>
        <w:jc w:val="both"/>
        <w:rPr>
          <w:rFonts w:ascii="Palatino Linotype" w:hAnsi="Palatino Linotype" w:cstheme="minorBidi"/>
          <w:lang w:val="en-US"/>
        </w:rPr>
      </w:pPr>
      <w:r w:rsidRPr="00456C34">
        <w:rPr>
          <w:rFonts w:ascii="Palatino Linotype" w:hAnsi="Palatino Linotype" w:cstheme="minorBidi"/>
          <w:lang w:val="en-US"/>
        </w:rPr>
        <w:t>FSB has published its </w:t>
      </w:r>
      <w:hyperlink r:id="rId49" w:history="1">
        <w:r w:rsidRPr="00456C34">
          <w:rPr>
            <w:rFonts w:ascii="Palatino Linotype" w:hAnsi="Palatino Linotype" w:cstheme="minorBidi"/>
            <w:lang w:val="en-US"/>
          </w:rPr>
          <w:t>interim report on the lessons learnt from the Covid-19 pandemic from a financial stability perspective</w:t>
        </w:r>
      </w:hyperlink>
      <w:r w:rsidRPr="00456C34">
        <w:rPr>
          <w:rFonts w:ascii="Palatino Linotype" w:hAnsi="Palatino Linotype" w:cstheme="minorBidi"/>
          <w:lang w:val="en-US"/>
        </w:rPr>
        <w:t>. The report identifies preliminary lessons for financial stability and aspects of the functioning of the G20 financial reforms that may warrant attention at the international level. Report has underscored the need to strengthen resilience in non-bank financial intermediation, the importance of effective operational risk management arrangements, the need to enhance further crisis management preparedness, and the importance of promoting financial resilience amidst rapid technological change.</w:t>
      </w:r>
    </w:p>
    <w:p w:rsidR="00456C34" w:rsidRPr="00456C34" w:rsidRDefault="00456C34" w:rsidP="00456C34">
      <w:pPr>
        <w:shd w:val="clear" w:color="auto" w:fill="FFFFFF"/>
        <w:spacing w:line="276" w:lineRule="auto"/>
        <w:jc w:val="both"/>
        <w:textAlignment w:val="baseline"/>
        <w:rPr>
          <w:rFonts w:ascii="Palatino Linotype" w:hAnsi="Palatino Linotype" w:cstheme="minorBidi"/>
          <w:lang w:val="en-US"/>
        </w:rPr>
      </w:pPr>
    </w:p>
    <w:p w:rsidR="00456C34" w:rsidRPr="006813C9" w:rsidRDefault="00456C34" w:rsidP="00456C34">
      <w:pPr>
        <w:shd w:val="clear" w:color="auto" w:fill="FFFFFF"/>
        <w:spacing w:after="150"/>
        <w:textAlignment w:val="baseline"/>
        <w:rPr>
          <w:rFonts w:ascii="Palatino Linotype" w:hAnsi="Palatino Linotype" w:cs="Calibri"/>
          <w:bCs/>
          <w:i/>
          <w:iCs/>
        </w:rPr>
      </w:pPr>
      <w:r w:rsidRPr="006813C9">
        <w:rPr>
          <w:rFonts w:ascii="Palatino Linotype" w:hAnsi="Palatino Linotype" w:cs="Calibri"/>
          <w:bCs/>
          <w:i/>
          <w:iCs/>
        </w:rPr>
        <w:t xml:space="preserve">Source:  </w:t>
      </w:r>
      <w:r w:rsidR="00D95495" w:rsidRPr="006813C9">
        <w:rPr>
          <w:rFonts w:ascii="Palatino Linotype" w:hAnsi="Palatino Linotype" w:cs="Calibri"/>
          <w:bCs/>
          <w:i/>
          <w:iCs/>
        </w:rPr>
        <w:t>https://www.fsb.org/2021/07/fsb-identifies-preliminary-lessons-for-financial-stability-from-the-covid-19-experience/</w:t>
      </w:r>
    </w:p>
    <w:p w:rsidR="00EA32C3" w:rsidRDefault="00EA32C3" w:rsidP="00013BA3">
      <w:pPr>
        <w:jc w:val="both"/>
        <w:rPr>
          <w:rFonts w:ascii="Palatino Linotype" w:hAnsi="Palatino Linotype"/>
          <w:b/>
          <w:bCs/>
          <w:lang w:val="en-US" w:bidi="hi-IN"/>
        </w:rPr>
      </w:pPr>
    </w:p>
    <w:p w:rsidR="00DB7D3F" w:rsidRDefault="00DB7D3F">
      <w:pPr>
        <w:rPr>
          <w:rFonts w:ascii="Palatino Linotype" w:hAnsi="Palatino Linotype"/>
          <w:b/>
          <w:bCs/>
          <w:lang w:val="en-US" w:bidi="hi-IN"/>
        </w:rPr>
      </w:pPr>
      <w:r>
        <w:rPr>
          <w:rFonts w:ascii="Palatino Linotype" w:hAnsi="Palatino Linotype"/>
          <w:b/>
          <w:bCs/>
          <w:lang w:val="en-US" w:bidi="hi-IN"/>
        </w:rPr>
        <w:br w:type="page"/>
      </w:r>
    </w:p>
    <w:p w:rsidR="00EA32C3" w:rsidRDefault="00EA32C3" w:rsidP="00013BA3">
      <w:pPr>
        <w:jc w:val="both"/>
        <w:rPr>
          <w:rFonts w:ascii="Palatino Linotype" w:hAnsi="Palatino Linotype"/>
          <w:b/>
          <w:bCs/>
          <w:lang w:val="en-US" w:bidi="hi-IN"/>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8D1E7F" w:rsidRDefault="008D1E7F" w:rsidP="008D1E7F">
      <w:pPr>
        <w:spacing w:after="160" w:line="259" w:lineRule="auto"/>
        <w:contextualSpacing/>
        <w:rPr>
          <w:rFonts w:ascii="Palatino Linotype" w:hAnsi="Palatino Linotype" w:cs="Courier New"/>
          <w:b/>
          <w:bCs/>
          <w:lang w:val="en-IN" w:eastAsia="en-IN" w:bidi="hi-IN"/>
        </w:rPr>
      </w:pPr>
      <w:r>
        <w:rPr>
          <w:rFonts w:ascii="Palatino Linotype" w:hAnsi="Palatino Linotype" w:cs="Courier New"/>
          <w:b/>
          <w:bCs/>
          <w:lang w:val="en-IN" w:eastAsia="en-IN" w:bidi="hi-IN"/>
        </w:rPr>
        <w:t>1.</w:t>
      </w:r>
      <w:r>
        <w:rPr>
          <w:rFonts w:ascii="Palatino Linotype" w:hAnsi="Palatino Linotype" w:cs="Courier New"/>
          <w:b/>
          <w:bCs/>
          <w:lang w:val="en-IN" w:eastAsia="en-IN" w:bidi="hi-IN"/>
        </w:rPr>
        <w:tab/>
      </w:r>
      <w:r w:rsidRPr="00155195">
        <w:rPr>
          <w:rFonts w:ascii="Palatino Linotype" w:hAnsi="Palatino Linotype" w:cs="Courier New"/>
          <w:b/>
          <w:bCs/>
          <w:lang w:val="en-IN" w:eastAsia="en-IN" w:bidi="hi-IN"/>
        </w:rPr>
        <w:t>Alignment of interest of Key Employees of Asset Management Companies with the Unitholders of the Mutual Fund Schemes</w:t>
      </w:r>
    </w:p>
    <w:p w:rsidR="008D1E7F" w:rsidRPr="00155195" w:rsidRDefault="008D1E7F" w:rsidP="008D1E7F">
      <w:pPr>
        <w:spacing w:after="160" w:line="259" w:lineRule="auto"/>
        <w:ind w:left="720"/>
        <w:contextualSpacing/>
        <w:rPr>
          <w:rFonts w:ascii="Palatino Linotype" w:hAnsi="Palatino Linotype" w:cs="Courier New"/>
          <w:b/>
          <w:bCs/>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352E58">
        <w:rPr>
          <w:rFonts w:ascii="Palatino Linotype" w:hAnsi="Palatino Linotype" w:cs="Courier New"/>
          <w:lang w:val="en-IN" w:eastAsia="en-IN" w:bidi="hi-IN"/>
        </w:rPr>
        <w:t xml:space="preserve">In order to improve the efficiency of the use of the margin capital by market participants, SEBI permitted cross margin benefit between </w:t>
      </w:r>
      <w:r w:rsidR="008B37FC" w:rsidRPr="00352E58">
        <w:rPr>
          <w:rFonts w:ascii="Palatino Linotype" w:hAnsi="Palatino Linotype" w:cs="Courier New"/>
          <w:lang w:val="en-IN" w:eastAsia="en-IN" w:bidi="hi-IN"/>
        </w:rPr>
        <w:t xml:space="preserve">commodity index </w:t>
      </w:r>
      <w:r w:rsidRPr="00352E58">
        <w:rPr>
          <w:rFonts w:ascii="Palatino Linotype" w:hAnsi="Palatino Linotype" w:cs="Courier New"/>
          <w:lang w:val="en-IN" w:eastAsia="en-IN" w:bidi="hi-IN"/>
        </w:rPr>
        <w:t xml:space="preserve">futures and futures of its underlying constituents or its variants. This shall reduce the cost of trading and may lead to enhanced liquidity in both the </w:t>
      </w:r>
      <w:r w:rsidR="008B37FC" w:rsidRPr="00352E58">
        <w:rPr>
          <w:rFonts w:ascii="Palatino Linotype" w:hAnsi="Palatino Linotype" w:cs="Courier New"/>
          <w:lang w:val="en-IN" w:eastAsia="en-IN" w:bidi="hi-IN"/>
        </w:rPr>
        <w:t>commodity</w:t>
      </w:r>
      <w:r w:rsidRPr="00352E58">
        <w:rPr>
          <w:rFonts w:ascii="Palatino Linotype" w:hAnsi="Palatino Linotype" w:cs="Courier New"/>
          <w:lang w:val="en-IN" w:eastAsia="en-IN" w:bidi="hi-IN"/>
        </w:rPr>
        <w:t xml:space="preserve"> index futures and its underlying constituent futures or its variants.</w:t>
      </w:r>
    </w:p>
    <w:p w:rsidR="008D1E7F" w:rsidRDefault="008D1E7F" w:rsidP="008D1E7F">
      <w:pPr>
        <w:autoSpaceDE w:val="0"/>
        <w:autoSpaceDN w:val="0"/>
        <w:adjustRightInd w:val="0"/>
        <w:jc w:val="both"/>
        <w:rPr>
          <w:rFonts w:ascii="Palatino Linotype" w:hAnsi="Palatino Linotype" w:cs="Courier New"/>
          <w:lang w:val="en-IN" w:eastAsia="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352E58">
        <w:rPr>
          <w:rFonts w:ascii="Palatino Linotype" w:eastAsia="Calibri" w:hAnsi="Palatino Linotype" w:cs="Mangal"/>
          <w:lang w:val="en-IN" w:bidi="hi-IN"/>
        </w:rPr>
        <w:t>SEBI/HO/OIAE/IGDR/CIR/P/2021/588</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w:t>
      </w:r>
      <w:r w:rsidRPr="00155195">
        <w:rPr>
          <w:rFonts w:ascii="Palatino Linotype" w:eastAsia="Calibri" w:hAnsi="Palatino Linotype" w:cs="Mangal"/>
          <w:lang w:val="en-IN" w:bidi="hi-IN"/>
        </w:rPr>
        <w:t>5, 2021</w:t>
      </w:r>
    </w:p>
    <w:p w:rsidR="008D1E7F" w:rsidRDefault="008D1E7F" w:rsidP="008D1E7F">
      <w:pPr>
        <w:jc w:val="center"/>
        <w:rPr>
          <w:rFonts w:ascii="Palatino Linotype" w:hAnsi="Palatino Linotype"/>
          <w:b/>
          <w:sz w:val="28"/>
          <w:szCs w:val="36"/>
          <w:u w:val="single"/>
        </w:rPr>
      </w:pPr>
    </w:p>
    <w:p w:rsidR="008D1E7F" w:rsidRPr="00155195" w:rsidRDefault="008D1E7F" w:rsidP="008D1E7F">
      <w:pPr>
        <w:autoSpaceDE w:val="0"/>
        <w:autoSpaceDN w:val="0"/>
        <w:adjustRightInd w:val="0"/>
        <w:spacing w:after="160" w:line="259" w:lineRule="auto"/>
        <w:contextualSpacing/>
        <w:jc w:val="both"/>
        <w:rPr>
          <w:rFonts w:ascii="Palatino Linotype" w:eastAsia="Calibri" w:hAnsi="Palatino Linotype" w:cs="CIDFont+F3"/>
          <w:b/>
          <w:bCs/>
          <w:lang w:val="en-IN" w:bidi="hi-IN"/>
        </w:rPr>
      </w:pPr>
      <w:r>
        <w:rPr>
          <w:rFonts w:ascii="Palatino Linotype" w:eastAsia="Calibri" w:hAnsi="Palatino Linotype" w:cs="CIDFont+F3"/>
          <w:b/>
          <w:bCs/>
          <w:lang w:val="en-IN" w:bidi="hi-IN"/>
        </w:rPr>
        <w:t xml:space="preserve">2.   </w:t>
      </w:r>
      <w:r w:rsidRPr="00D30341">
        <w:rPr>
          <w:rFonts w:ascii="Palatino Linotype" w:eastAsia="Calibri" w:hAnsi="Palatino Linotype" w:cs="CIDFont+F3"/>
          <w:b/>
          <w:bCs/>
          <w:lang w:val="en-IN" w:bidi="hi-IN"/>
        </w:rPr>
        <w:t>Issue of No Objection Certificate for release of 1% of Issue amount</w:t>
      </w:r>
    </w:p>
    <w:p w:rsidR="008D1E7F" w:rsidRPr="00155195" w:rsidRDefault="008D1E7F" w:rsidP="008D1E7F">
      <w:pPr>
        <w:autoSpaceDE w:val="0"/>
        <w:autoSpaceDN w:val="0"/>
        <w:adjustRightInd w:val="0"/>
        <w:ind w:left="720"/>
        <w:contextualSpacing/>
        <w:rPr>
          <w:rFonts w:ascii="Palatino Linotype" w:eastAsia="Calibri" w:hAnsi="Palatino Linotype" w:cs="CIDFont+F3"/>
          <w:lang w:val="en-IN" w:bidi="hi-IN"/>
        </w:rPr>
      </w:pPr>
      <w:r>
        <w:rPr>
          <w:rFonts w:ascii="Palatino Linotype" w:eastAsia="Calibri" w:hAnsi="Palatino Linotype" w:cs="CIDFont+F3"/>
          <w:lang w:val="en-IN" w:bidi="hi-IN"/>
        </w:rPr>
        <w:t xml:space="preserve"> </w:t>
      </w:r>
    </w:p>
    <w:p w:rsidR="008D1E7F" w:rsidRPr="00D30341" w:rsidRDefault="008D1E7F" w:rsidP="008D1E7F">
      <w:pPr>
        <w:spacing w:after="160" w:line="259" w:lineRule="auto"/>
        <w:jc w:val="both"/>
        <w:rPr>
          <w:rFonts w:ascii="Palatino Linotype" w:eastAsia="Calibri" w:hAnsi="Palatino Linotype" w:cs="Mangal"/>
          <w:lang w:bidi="hi-IN"/>
        </w:rPr>
      </w:pPr>
      <w:r w:rsidRPr="00D30341">
        <w:rPr>
          <w:rFonts w:ascii="Palatino Linotype" w:eastAsia="Calibri" w:hAnsi="Palatino Linotype" w:cs="Mangal"/>
          <w:lang w:bidi="hi-IN"/>
        </w:rPr>
        <w:t>SEBI has reduced the time period after listing for submitting the application for the purpose of obtaining NOC, to 2 months from the existing period of 4 months. The same is subject to the condition that all issue related complaints have been resolved by the merchant banker/ issuer. In addition to the requirements laid down for processing of NOC applications as per extant policy, the merchant banker shall also submit a certificate confirming that all the  SCSBs  involved  in  ASBA  process  have  unblocked  ASBA  accounts.</w:t>
      </w:r>
    </w:p>
    <w:p w:rsidR="008D1E7F" w:rsidRDefault="008D1E7F" w:rsidP="008D1E7F">
      <w:pPr>
        <w:autoSpaceDE w:val="0"/>
        <w:autoSpaceDN w:val="0"/>
        <w:adjustRightInd w:val="0"/>
        <w:jc w:val="both"/>
        <w:rPr>
          <w:rFonts w:ascii="Palatino Linotype" w:eastAsia="Calibri" w:hAnsi="Palatino Linotype" w:cs="CIDFont+F5"/>
          <w:lang w:val="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D30341">
        <w:rPr>
          <w:rFonts w:ascii="Palatino Linotype" w:eastAsia="Calibri" w:hAnsi="Palatino Linotype" w:cs="Mangal"/>
          <w:lang w:val="en-IN" w:bidi="hi-IN"/>
        </w:rPr>
        <w:t>SEBI/HO/OIAE/IGRD/CIR/P/2021/588</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05</w:t>
      </w:r>
      <w:r w:rsidRPr="00155195">
        <w:rPr>
          <w:rFonts w:ascii="Palatino Linotype" w:eastAsia="Calibri" w:hAnsi="Palatino Linotype" w:cs="Mangal"/>
          <w:lang w:val="en-IN" w:bidi="hi-IN"/>
        </w:rPr>
        <w:t>, 2021</w:t>
      </w:r>
    </w:p>
    <w:p w:rsidR="008D1E7F" w:rsidRPr="00155195" w:rsidRDefault="008D1E7F" w:rsidP="008D1E7F">
      <w:pPr>
        <w:autoSpaceDE w:val="0"/>
        <w:autoSpaceDN w:val="0"/>
        <w:adjustRightInd w:val="0"/>
        <w:jc w:val="both"/>
        <w:rPr>
          <w:rFonts w:ascii="Palatino Linotype" w:eastAsia="Calibri" w:hAnsi="Palatino Linotype" w:cs="Mangal"/>
          <w:lang w:val="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3</w:t>
      </w:r>
      <w:r w:rsidRPr="00D30341">
        <w:rPr>
          <w:rFonts w:ascii="Palatino Linotype" w:hAnsi="Palatino Linotype" w:cs="Courier New"/>
          <w:b/>
          <w:bCs/>
          <w:lang w:val="en-IN" w:eastAsia="en-IN" w:bidi="hi-IN"/>
        </w:rPr>
        <w:t>.</w:t>
      </w:r>
      <w:r w:rsidRPr="00D30341">
        <w:rPr>
          <w:rFonts w:ascii="Palatino Linotype" w:hAnsi="Palatino Linotype" w:cs="Courier New"/>
          <w:b/>
          <w:bCs/>
          <w:lang w:val="en-IN" w:eastAsia="en-IN" w:bidi="hi-IN"/>
        </w:rPr>
        <w:tab/>
        <w:t>Standard Operating Procedure for handling of technical glitches by Market Infrastructure Institutions (MIIs) and payment of “Financial Disincentives” thereof</w:t>
      </w:r>
    </w:p>
    <w:p w:rsidR="008D1E7F" w:rsidRPr="00155195" w:rsidRDefault="008D1E7F" w:rsidP="008D1E7F">
      <w:pPr>
        <w:spacing w:after="160" w:line="259" w:lineRule="auto"/>
        <w:ind w:left="720"/>
        <w:contextualSpacing/>
        <w:rPr>
          <w:rFonts w:ascii="Palatino Linotype" w:hAnsi="Palatino Linotype" w:cs="Courier New"/>
          <w:b/>
          <w:bCs/>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Considering the criticality of smooth functioning of systems of MIIs (as any disruption adversely impacts all classes of investors / market participants as well as the credibility of the securities market), specifying a pre-defined threshold for downtime of systems of MIIs becomes desirable. For any downtime or unavailability of services, beyond such pre-defined time, there is a need to ensure that “Financial Disincentive” is paid by the MIIs as well as Managing Director (being the executive head in-charge of all the day to day operations) and Chief Technology Officer (being the executive head in-charge of technology) of the MII. This will encourage MIIs to constantly monitor the performance and efficiency of their systems and upgrade/ enhance their systems etc., to avoid any  possibility  of  technical  </w:t>
      </w:r>
      <w:r w:rsidRPr="00D30341">
        <w:rPr>
          <w:rFonts w:ascii="Palatino Linotype" w:hAnsi="Palatino Linotype" w:cs="Courier New"/>
          <w:lang w:val="en-IN" w:eastAsia="en-IN" w:bidi="hi-IN"/>
        </w:rPr>
        <w:lastRenderedPageBreak/>
        <w:t xml:space="preserve">glitches/disruption/disaster  and  restart  their operations expeditiously in the event of glitch/disruption/disaster. </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In this regard, SEBI, in consultation with various stakeholders, decided that, MIIs shall follow the Standard Operating Procedure (SOP) for handling technical glitches and comply with the “Financial Disincentive” structure, as per details provided by the SEBI.</w:t>
      </w:r>
    </w:p>
    <w:p w:rsidR="008D1E7F" w:rsidRDefault="008D1E7F" w:rsidP="008D1E7F">
      <w:pPr>
        <w:autoSpaceDE w:val="0"/>
        <w:autoSpaceDN w:val="0"/>
        <w:adjustRightInd w:val="0"/>
        <w:jc w:val="both"/>
        <w:rPr>
          <w:rFonts w:ascii="Palatino Linotype" w:hAnsi="Palatino Linotype" w:cs="Courier New"/>
          <w:lang w:val="en-IN" w:eastAsia="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1000CF">
        <w:rPr>
          <w:rFonts w:ascii="Palatino Linotype" w:eastAsia="Calibri" w:hAnsi="Palatino Linotype" w:cs="Mangal"/>
          <w:lang w:val="en-IN" w:bidi="hi-IN"/>
        </w:rPr>
        <w:t>SEBI/HO/MRD1/DTCS/CIR/P/2021/590</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w:t>
      </w:r>
      <w:r w:rsidRPr="00155195">
        <w:rPr>
          <w:rFonts w:ascii="Palatino Linotype" w:eastAsia="Calibri" w:hAnsi="Palatino Linotype" w:cs="Mangal"/>
          <w:lang w:val="en-IN" w:bidi="hi-IN"/>
        </w:rPr>
        <w:t>5, 2021</w:t>
      </w:r>
    </w:p>
    <w:p w:rsidR="008D1E7F"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4</w:t>
      </w:r>
      <w:r w:rsidRPr="00D30341">
        <w:rPr>
          <w:rFonts w:ascii="Palatino Linotype" w:hAnsi="Palatino Linotype" w:cs="Courier New"/>
          <w:b/>
          <w:bCs/>
          <w:lang w:val="en-IN" w:eastAsia="en-IN" w:bidi="hi-IN"/>
        </w:rPr>
        <w:t>.</w:t>
      </w:r>
      <w:r w:rsidRPr="00D30341">
        <w:rPr>
          <w:rFonts w:ascii="Palatino Linotype" w:hAnsi="Palatino Linotype" w:cs="Courier New"/>
          <w:b/>
          <w:bCs/>
          <w:lang w:val="en-IN" w:eastAsia="en-IN" w:bidi="hi-IN"/>
        </w:rPr>
        <w:tab/>
        <w:t>Standard Operating Procedure for listed subsidiary company desirous of getting  delisted  through  a  Scheme  of  Arrangement  wherein  the listed parent holding company and the listed subsidiary are in the same line of business.</w:t>
      </w:r>
    </w:p>
    <w:p w:rsidR="008D1E7F" w:rsidRPr="00155195" w:rsidRDefault="008D1E7F" w:rsidP="008D1E7F">
      <w:pPr>
        <w:spacing w:after="160" w:line="259" w:lineRule="auto"/>
        <w:contextualSpacing/>
        <w:jc w:val="both"/>
        <w:rPr>
          <w:rFonts w:ascii="Palatino Linotype" w:hAnsi="Palatino Linotype" w:cs="Courier New"/>
          <w:b/>
          <w:bCs/>
          <w:lang w:val="en-IN" w:eastAsia="en-IN" w:bidi="hi-IN"/>
        </w:rPr>
      </w:pP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SEBI, has notified the amendments made to the SEBI (Delisting  of Equity  Shares)  Regulations, 2021  wherein special  provisions  for  a listed subsidiary  company getting  delisted  through  a  scheme  of  arrangement have  been  inter-alia  inserted with respect to a listed holding company and the listed subsidiary company who are in the ‘same line of business’. </w:t>
      </w: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SEBI had clarified that for the purposes of defining ‘same line of business’, the following criteria need to be fulfilled by the listed holding company and the listed subsidiary company- </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ind w:left="284"/>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w:t>
      </w:r>
      <w:r w:rsidRPr="00D30341">
        <w:rPr>
          <w:rFonts w:ascii="Palatino Linotype" w:hAnsi="Palatino Linotype" w:cs="Courier New"/>
          <w:lang w:val="en-IN" w:eastAsia="en-IN" w:bidi="hi-IN"/>
        </w:rPr>
        <w:tab/>
        <w:t>The principal economic activities of both Holding company and Subsidiary Company are under  the  same  Group  (3-digit  numeric  code)  under  the National Industrial Classification (NIC) Code 2008.</w:t>
      </w:r>
    </w:p>
    <w:p w:rsidR="008D1E7F" w:rsidRPr="00D30341" w:rsidRDefault="008D1E7F" w:rsidP="008D1E7F">
      <w:pPr>
        <w:autoSpaceDE w:val="0"/>
        <w:autoSpaceDN w:val="0"/>
        <w:adjustRightInd w:val="0"/>
        <w:ind w:left="284"/>
        <w:jc w:val="both"/>
        <w:rPr>
          <w:rFonts w:ascii="Palatino Linotype" w:hAnsi="Palatino Linotype" w:cs="Courier New"/>
          <w:lang w:val="en-IN" w:eastAsia="en-IN" w:bidi="hi-IN"/>
        </w:rPr>
      </w:pPr>
    </w:p>
    <w:p w:rsidR="008D1E7F" w:rsidRDefault="008D1E7F" w:rsidP="008D1E7F">
      <w:pPr>
        <w:autoSpaceDE w:val="0"/>
        <w:autoSpaceDN w:val="0"/>
        <w:adjustRightInd w:val="0"/>
        <w:ind w:left="284"/>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ii.</w:t>
      </w:r>
      <w:r w:rsidRPr="00D30341">
        <w:rPr>
          <w:rFonts w:ascii="Palatino Linotype" w:hAnsi="Palatino Linotype" w:cs="Courier New"/>
          <w:lang w:val="en-IN" w:eastAsia="en-IN" w:bidi="hi-IN"/>
        </w:rPr>
        <w:tab/>
        <w:t>Not less than 50% of revenue from the operations of the listed holding and listed subsidiary company must come from the same line of business as per last audited annual financial  results.</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ind w:left="284"/>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iii.</w:t>
      </w:r>
      <w:r w:rsidRPr="00D30341">
        <w:rPr>
          <w:rFonts w:ascii="Palatino Linotype" w:hAnsi="Palatino Linotype" w:cs="Courier New"/>
          <w:lang w:val="en-IN" w:eastAsia="en-IN" w:bidi="hi-IN"/>
        </w:rPr>
        <w:tab/>
        <w:t>Not less than 50% of the net tangible assets of the listed holding and listed subsidiary must have been invested in the same line of business as per last audited annual financial results  submitted  by  both  the  companies.</w:t>
      </w:r>
    </w:p>
    <w:p w:rsidR="008D1E7F" w:rsidRPr="00D30341" w:rsidRDefault="008D1E7F" w:rsidP="008D1E7F">
      <w:pPr>
        <w:autoSpaceDE w:val="0"/>
        <w:autoSpaceDN w:val="0"/>
        <w:adjustRightInd w:val="0"/>
        <w:ind w:left="284"/>
        <w:jc w:val="both"/>
        <w:rPr>
          <w:rFonts w:ascii="Palatino Linotype" w:hAnsi="Palatino Linotype" w:cs="Courier New"/>
          <w:lang w:val="en-IN" w:eastAsia="en-IN" w:bidi="hi-IN"/>
        </w:rPr>
      </w:pPr>
    </w:p>
    <w:p w:rsidR="008D1E7F" w:rsidRDefault="008D1E7F" w:rsidP="008D1E7F">
      <w:pPr>
        <w:autoSpaceDE w:val="0"/>
        <w:autoSpaceDN w:val="0"/>
        <w:adjustRightInd w:val="0"/>
        <w:ind w:left="284"/>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iv.</w:t>
      </w:r>
      <w:r w:rsidRPr="00D30341">
        <w:rPr>
          <w:rFonts w:ascii="Palatino Linotype" w:hAnsi="Palatino Linotype" w:cs="Courier New"/>
          <w:lang w:val="en-IN" w:eastAsia="en-IN" w:bidi="hi-IN"/>
        </w:rPr>
        <w:tab/>
        <w:t>In case of change of name of the listed entities, within the last one year, at least fifty percent of the revenue, calculated on a restated and consolidated basis, for the preceding one full year has to be earned by it from the activity indicated by its new name.</w:t>
      </w:r>
    </w:p>
    <w:p w:rsidR="008D1E7F" w:rsidRPr="00D30341" w:rsidRDefault="008D1E7F" w:rsidP="008D1E7F">
      <w:pPr>
        <w:autoSpaceDE w:val="0"/>
        <w:autoSpaceDN w:val="0"/>
        <w:adjustRightInd w:val="0"/>
        <w:ind w:left="284"/>
        <w:jc w:val="both"/>
        <w:rPr>
          <w:rFonts w:ascii="Palatino Linotype" w:hAnsi="Palatino Linotype" w:cs="Courier New"/>
          <w:lang w:val="en-IN" w:eastAsia="en-IN" w:bidi="hi-IN"/>
        </w:rPr>
      </w:pPr>
    </w:p>
    <w:p w:rsidR="008D1E7F" w:rsidRDefault="008D1E7F" w:rsidP="008D1E7F">
      <w:pPr>
        <w:autoSpaceDE w:val="0"/>
        <w:autoSpaceDN w:val="0"/>
        <w:adjustRightInd w:val="0"/>
        <w:ind w:left="284"/>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v.</w:t>
      </w:r>
      <w:r w:rsidRPr="00D30341">
        <w:rPr>
          <w:rFonts w:ascii="Palatino Linotype" w:hAnsi="Palatino Linotype" w:cs="Courier New"/>
          <w:lang w:val="en-IN" w:eastAsia="en-IN" w:bidi="hi-IN"/>
        </w:rPr>
        <w:tab/>
        <w:t>The listed holding company and the listed subsidiary have to provide a self certification with  respect  to  both  the companies  being  in  the  same  line  of business.</w:t>
      </w:r>
    </w:p>
    <w:p w:rsidR="008D1E7F" w:rsidRDefault="008D1E7F" w:rsidP="008D1E7F">
      <w:pPr>
        <w:autoSpaceDE w:val="0"/>
        <w:autoSpaceDN w:val="0"/>
        <w:adjustRightInd w:val="0"/>
        <w:jc w:val="both"/>
        <w:rPr>
          <w:rFonts w:ascii="Palatino Linotype" w:hAnsi="Palatino Linotype" w:cs="Courier New"/>
          <w:lang w:val="en-IN" w:eastAsia="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1000CF">
        <w:rPr>
          <w:rFonts w:ascii="Palatino Linotype" w:eastAsia="Calibri" w:hAnsi="Palatino Linotype" w:cs="Mangal"/>
          <w:lang w:val="en-IN" w:bidi="hi-IN"/>
        </w:rPr>
        <w:t>SEBI/HO/CFD/DIL1/CIR/P/2021/0585</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06</w:t>
      </w:r>
      <w:r w:rsidRPr="00155195">
        <w:rPr>
          <w:rFonts w:ascii="Palatino Linotype" w:eastAsia="Calibri" w:hAnsi="Palatino Linotype" w:cs="Mangal"/>
          <w:lang w:val="en-IN" w:bidi="hi-IN"/>
        </w:rPr>
        <w:t>, 2021</w:t>
      </w:r>
    </w:p>
    <w:p w:rsidR="008D1E7F" w:rsidRPr="00155195"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autoSpaceDE w:val="0"/>
        <w:autoSpaceDN w:val="0"/>
        <w:adjustRightInd w:val="0"/>
        <w:rPr>
          <w:rFonts w:ascii="Palatino Linotype" w:eastAsia="Calibri" w:hAnsi="Palatino Linotype" w:cs="Calibri"/>
          <w:color w:val="000000"/>
          <w:lang w:val="en-IN" w:bidi="hi-IN"/>
        </w:rPr>
      </w:pPr>
    </w:p>
    <w:p w:rsidR="008D1E7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5</w:t>
      </w:r>
      <w:r w:rsidRPr="00D30341">
        <w:rPr>
          <w:rFonts w:ascii="Palatino Linotype" w:hAnsi="Palatino Linotype" w:cs="Courier New"/>
          <w:b/>
          <w:bCs/>
          <w:lang w:val="en-IN" w:eastAsia="en-IN" w:bidi="hi-IN"/>
        </w:rPr>
        <w:t>.</w:t>
      </w:r>
      <w:r w:rsidRPr="00D30341">
        <w:rPr>
          <w:rFonts w:ascii="Palatino Linotype" w:hAnsi="Palatino Linotype" w:cs="Courier New"/>
          <w:b/>
          <w:bCs/>
          <w:lang w:val="en-IN" w:eastAsia="en-IN" w:bidi="hi-IN"/>
        </w:rPr>
        <w:tab/>
        <w:t>Review of Advance Intimation timelines for modifications in the contract specifications of commodity derivatives contracts</w:t>
      </w:r>
    </w:p>
    <w:p w:rsidR="008D1E7F" w:rsidRPr="00155195" w:rsidRDefault="008D1E7F" w:rsidP="008D1E7F">
      <w:pPr>
        <w:spacing w:after="160" w:line="259" w:lineRule="auto"/>
        <w:ind w:left="720"/>
        <w:contextualSpacing/>
        <w:rPr>
          <w:rFonts w:ascii="Palatino Linotype" w:hAnsi="Palatino Linotype" w:cs="Courier New"/>
          <w:b/>
          <w:bCs/>
          <w:lang w:val="en-IN" w:eastAsia="en-IN" w:bidi="hi-IN"/>
        </w:rPr>
      </w:pP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SEBI  has  specified  the  procedure  for  carrying  out  modifications in the contract specifications of commodity derivatives contracts. Based on  their materiality, the contract modifications are categorized into Category A, Category B and Category C. The permission to modify contract specifications   is   subject   to   the   condition   that   before   introduction   of   any modification, the </w:t>
      </w:r>
      <w:r w:rsidR="008B37FC" w:rsidRPr="00D30341">
        <w:rPr>
          <w:rFonts w:ascii="Palatino Linotype" w:hAnsi="Palatino Linotype" w:cs="Courier New"/>
          <w:lang w:val="en-IN" w:eastAsia="en-IN" w:bidi="hi-IN"/>
        </w:rPr>
        <w:t xml:space="preserve">stock exchanges  </w:t>
      </w:r>
      <w:r w:rsidRPr="00D30341">
        <w:rPr>
          <w:rFonts w:ascii="Palatino Linotype" w:hAnsi="Palatino Linotype" w:cs="Courier New"/>
          <w:lang w:val="en-IN" w:eastAsia="en-IN" w:bidi="hi-IN"/>
        </w:rPr>
        <w:t xml:space="preserve">shall  inform  SEBI  and  market  participants along  with  reasons  for  the  modifications.  </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In order to bring in uniformity while giving effect to the contract modifications so that they have the desired impact and the modified contract represents a healthy replica of the physical market, SEBI has decided, in consultation with the </w:t>
      </w:r>
      <w:r w:rsidR="008B37FC" w:rsidRPr="00D30341">
        <w:rPr>
          <w:rFonts w:ascii="Palatino Linotype" w:hAnsi="Palatino Linotype" w:cs="Courier New"/>
          <w:lang w:val="en-IN" w:eastAsia="en-IN" w:bidi="hi-IN"/>
        </w:rPr>
        <w:t>stock exchanges</w:t>
      </w:r>
      <w:r w:rsidRPr="00D30341">
        <w:rPr>
          <w:rFonts w:ascii="Palatino Linotype" w:hAnsi="Palatino Linotype" w:cs="Courier New"/>
          <w:lang w:val="en-IN" w:eastAsia="en-IN" w:bidi="hi-IN"/>
        </w:rPr>
        <w:t>, to reduce the number of days of advance intimation for all the three categories i.e. Category A, Category B and Category C, to 10 days, from earlier timelines of 10 days for Category A and 30 days for Category B and Category C contracts.</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1000CF">
        <w:rPr>
          <w:rFonts w:ascii="Palatino Linotype" w:eastAsia="Calibri" w:hAnsi="Palatino Linotype" w:cs="Mangal"/>
          <w:lang w:val="en-IN" w:bidi="hi-IN"/>
        </w:rPr>
        <w:t>SEBI/HO/CDMRD_DoP/P/CIR/2021/592</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08</w:t>
      </w:r>
      <w:r w:rsidRPr="00155195">
        <w:rPr>
          <w:rFonts w:ascii="Palatino Linotype" w:eastAsia="Calibri" w:hAnsi="Palatino Linotype" w:cs="Mangal"/>
          <w:lang w:val="en-IN" w:bidi="hi-IN"/>
        </w:rPr>
        <w:t>, 2021</w:t>
      </w:r>
    </w:p>
    <w:p w:rsidR="008D1E7F" w:rsidRPr="00155195"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6</w:t>
      </w:r>
      <w:r w:rsidRPr="00D30341">
        <w:rPr>
          <w:rFonts w:ascii="Palatino Linotype" w:hAnsi="Palatino Linotype" w:cs="Courier New"/>
          <w:b/>
          <w:bCs/>
          <w:lang w:val="en-IN" w:eastAsia="en-IN" w:bidi="hi-IN"/>
        </w:rPr>
        <w:t>.</w:t>
      </w:r>
      <w:r w:rsidRPr="00D30341">
        <w:rPr>
          <w:rFonts w:ascii="Palatino Linotype" w:hAnsi="Palatino Linotype" w:cs="Courier New"/>
          <w:b/>
          <w:bCs/>
          <w:lang w:val="en-IN" w:eastAsia="en-IN" w:bidi="hi-IN"/>
        </w:rPr>
        <w:tab/>
        <w:t>Valuation of securities with multiple put options present ab-initio</w:t>
      </w:r>
    </w:p>
    <w:p w:rsidR="008D1E7F" w:rsidRPr="00155195" w:rsidRDefault="008D1E7F" w:rsidP="008D1E7F">
      <w:pPr>
        <w:spacing w:after="160" w:line="259" w:lineRule="auto"/>
        <w:ind w:left="720"/>
        <w:contextualSpacing/>
        <w:rPr>
          <w:rFonts w:ascii="Palatino Linotype" w:hAnsi="Palatino Linotype" w:cs="Courier New"/>
          <w:b/>
          <w:bCs/>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In respect of valuation of securities with multiple  put  options present ab-initio wherein  put option  is  factored  into valuation  of  the  security by  the  valuation  agency,  the following  is decided-</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 xml:space="preserve">If the put  option  is  not  exercised  by  a  </w:t>
      </w:r>
      <w:r w:rsidR="008B37FC" w:rsidRPr="00D30341">
        <w:rPr>
          <w:rFonts w:ascii="Palatino Linotype" w:hAnsi="Palatino Linotype" w:cs="Courier New"/>
          <w:lang w:val="en-IN" w:eastAsia="en-IN" w:bidi="hi-IN"/>
        </w:rPr>
        <w:t>mutual  fund</w:t>
      </w:r>
      <w:r w:rsidRPr="00D30341">
        <w:rPr>
          <w:rFonts w:ascii="Palatino Linotype" w:hAnsi="Palatino Linotype" w:cs="Courier New"/>
          <w:lang w:val="en-IN" w:eastAsia="en-IN" w:bidi="hi-IN"/>
        </w:rPr>
        <w:t>,  while  exercising  the  put  option  would have been in favour of the scheme;</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ind w:left="567"/>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w:t>
      </w:r>
      <w:r w:rsidRPr="00D30341">
        <w:rPr>
          <w:rFonts w:ascii="Palatino Linotype" w:hAnsi="Palatino Linotype" w:cs="Courier New"/>
          <w:lang w:val="en-IN" w:eastAsia="en-IN" w:bidi="hi-IN"/>
        </w:rPr>
        <w:tab/>
        <w:t xml:space="preserve">A justification for not exercising the put option shall be provided by the </w:t>
      </w:r>
      <w:r w:rsidR="008B37FC" w:rsidRPr="00D30341">
        <w:rPr>
          <w:rFonts w:ascii="Palatino Linotype" w:hAnsi="Palatino Linotype" w:cs="Courier New"/>
          <w:lang w:val="en-IN" w:eastAsia="en-IN" w:bidi="hi-IN"/>
        </w:rPr>
        <w:t xml:space="preserve">mutual fund </w:t>
      </w:r>
      <w:r w:rsidRPr="00D30341">
        <w:rPr>
          <w:rFonts w:ascii="Palatino Linotype" w:hAnsi="Palatino Linotype" w:cs="Courier New"/>
          <w:lang w:val="en-IN" w:eastAsia="en-IN" w:bidi="hi-IN"/>
        </w:rPr>
        <w:t xml:space="preserve">to the </w:t>
      </w:r>
      <w:r w:rsidR="008B37FC" w:rsidRPr="00D30341">
        <w:rPr>
          <w:rFonts w:ascii="Palatino Linotype" w:hAnsi="Palatino Linotype" w:cs="Courier New"/>
          <w:lang w:val="en-IN" w:eastAsia="en-IN" w:bidi="hi-IN"/>
        </w:rPr>
        <w:t>valuation agencies</w:t>
      </w:r>
      <w:r w:rsidRPr="00D30341">
        <w:rPr>
          <w:rFonts w:ascii="Palatino Linotype" w:hAnsi="Palatino Linotype" w:cs="Courier New"/>
          <w:lang w:val="en-IN" w:eastAsia="en-IN" w:bidi="hi-IN"/>
        </w:rPr>
        <w:t xml:space="preserve">, Board of AMC and </w:t>
      </w:r>
      <w:r w:rsidR="008B37FC">
        <w:rPr>
          <w:rFonts w:ascii="Palatino Linotype" w:hAnsi="Palatino Linotype" w:cs="Courier New"/>
          <w:lang w:val="en-IN" w:eastAsia="en-IN" w:bidi="hi-IN"/>
        </w:rPr>
        <w:t>t</w:t>
      </w:r>
      <w:r w:rsidR="008B37FC" w:rsidRPr="00D30341">
        <w:rPr>
          <w:rFonts w:ascii="Palatino Linotype" w:hAnsi="Palatino Linotype" w:cs="Courier New"/>
          <w:lang w:val="en-IN" w:eastAsia="en-IN" w:bidi="hi-IN"/>
        </w:rPr>
        <w:t xml:space="preserve">rustees </w:t>
      </w:r>
      <w:r w:rsidRPr="00D30341">
        <w:rPr>
          <w:rFonts w:ascii="Palatino Linotype" w:hAnsi="Palatino Linotype" w:cs="Courier New"/>
          <w:lang w:val="en-IN" w:eastAsia="en-IN" w:bidi="hi-IN"/>
        </w:rPr>
        <w:t xml:space="preserve">on or before the last date of the notice period. </w:t>
      </w:r>
    </w:p>
    <w:p w:rsidR="008D1E7F" w:rsidRPr="00D30341" w:rsidRDefault="008D1E7F" w:rsidP="008D1E7F">
      <w:pPr>
        <w:autoSpaceDE w:val="0"/>
        <w:autoSpaceDN w:val="0"/>
        <w:adjustRightInd w:val="0"/>
        <w:ind w:left="567"/>
        <w:jc w:val="both"/>
        <w:rPr>
          <w:rFonts w:ascii="Palatino Linotype" w:hAnsi="Palatino Linotype" w:cs="Courier New"/>
          <w:lang w:val="en-IN" w:eastAsia="en-IN" w:bidi="hi-IN"/>
        </w:rPr>
      </w:pPr>
    </w:p>
    <w:p w:rsidR="008D1E7F" w:rsidRDefault="008D1E7F" w:rsidP="008D1E7F">
      <w:pPr>
        <w:autoSpaceDE w:val="0"/>
        <w:autoSpaceDN w:val="0"/>
        <w:adjustRightInd w:val="0"/>
        <w:ind w:left="567"/>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ii)</w:t>
      </w:r>
      <w:r w:rsidRPr="00D30341">
        <w:rPr>
          <w:rFonts w:ascii="Palatino Linotype" w:hAnsi="Palatino Linotype" w:cs="Courier New"/>
          <w:lang w:val="en-IN" w:eastAsia="en-IN" w:bidi="hi-IN"/>
        </w:rPr>
        <w:tab/>
        <w:t xml:space="preserve">The </w:t>
      </w:r>
      <w:r w:rsidR="008B37FC" w:rsidRPr="00D30341">
        <w:rPr>
          <w:rFonts w:ascii="Palatino Linotype" w:hAnsi="Palatino Linotype" w:cs="Courier New"/>
          <w:lang w:val="en-IN" w:eastAsia="en-IN" w:bidi="hi-IN"/>
        </w:rPr>
        <w:t xml:space="preserve">valuation agencies </w:t>
      </w:r>
      <w:r w:rsidRPr="00D30341">
        <w:rPr>
          <w:rFonts w:ascii="Palatino Linotype" w:hAnsi="Palatino Linotype" w:cs="Courier New"/>
          <w:lang w:val="en-IN" w:eastAsia="en-IN" w:bidi="hi-IN"/>
        </w:rPr>
        <w:t xml:space="preserve">shall not take into account the remaining put options for the purpose of valuation of the security.  </w:t>
      </w:r>
    </w:p>
    <w:p w:rsidR="008D1E7F" w:rsidRPr="00D30341" w:rsidRDefault="008D1E7F" w:rsidP="008D1E7F">
      <w:pPr>
        <w:autoSpaceDE w:val="0"/>
        <w:autoSpaceDN w:val="0"/>
        <w:adjustRightInd w:val="0"/>
        <w:jc w:val="both"/>
        <w:rPr>
          <w:rFonts w:ascii="Palatino Linotype" w:hAnsi="Palatino Linotype" w:cs="Courier New"/>
          <w:lang w:val="en-IN" w:eastAsia="en-IN" w:bidi="hi-IN"/>
        </w:rPr>
      </w:pPr>
    </w:p>
    <w:p w:rsidR="008D1E7F" w:rsidRDefault="008D1E7F" w:rsidP="008D1E7F">
      <w:pPr>
        <w:autoSpaceDE w:val="0"/>
        <w:autoSpaceDN w:val="0"/>
        <w:adjustRightInd w:val="0"/>
        <w:jc w:val="both"/>
        <w:rPr>
          <w:rFonts w:ascii="Palatino Linotype" w:hAnsi="Palatino Linotype" w:cs="Courier New"/>
          <w:lang w:val="en-IN" w:eastAsia="en-IN" w:bidi="hi-IN"/>
        </w:rPr>
      </w:pPr>
      <w:r w:rsidRPr="00D30341">
        <w:rPr>
          <w:rFonts w:ascii="Palatino Linotype" w:hAnsi="Palatino Linotype" w:cs="Courier New"/>
          <w:lang w:val="en-IN" w:eastAsia="en-IN" w:bidi="hi-IN"/>
        </w:rPr>
        <w:t>The put option shall be considered as ‘in favour of the scheme’ if the yield of the valuation price ignoring the put option under evaluation is more than the contractual yield/coupon rate by 30 basis points.</w:t>
      </w:r>
    </w:p>
    <w:p w:rsidR="008D1E7F" w:rsidRDefault="008D1E7F" w:rsidP="008D1E7F">
      <w:pPr>
        <w:autoSpaceDE w:val="0"/>
        <w:autoSpaceDN w:val="0"/>
        <w:adjustRightInd w:val="0"/>
        <w:jc w:val="both"/>
        <w:rPr>
          <w:rFonts w:ascii="Palatino Linotype" w:hAnsi="Palatino Linotype" w:cs="Courier New"/>
          <w:lang w:val="en-IN" w:eastAsia="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1000CF">
        <w:rPr>
          <w:rFonts w:ascii="Palatino Linotype" w:eastAsia="Calibri" w:hAnsi="Palatino Linotype" w:cs="Mangal"/>
          <w:lang w:val="en-IN" w:bidi="hi-IN"/>
        </w:rPr>
        <w:t>SEBI/HO/IMD/DF4/P/CIR/2021/593</w:t>
      </w:r>
      <w:r>
        <w:rPr>
          <w:rFonts w:ascii="Palatino Linotype" w:eastAsia="Calibri" w:hAnsi="Palatino Linotype" w:cs="Mangal"/>
          <w:lang w:val="en-IN" w:bidi="hi-IN"/>
        </w:rPr>
        <w:t xml:space="preserve"> </w:t>
      </w:r>
      <w:r w:rsidRPr="00155195">
        <w:rPr>
          <w:rFonts w:ascii="Palatino Linotype" w:eastAsia="Calibri" w:hAnsi="Palatino Linotype" w:cs="Mangal"/>
          <w:lang w:val="en-IN" w:bidi="hi-IN"/>
        </w:rPr>
        <w:t>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09</w:t>
      </w:r>
      <w:r w:rsidRPr="00155195">
        <w:rPr>
          <w:rFonts w:ascii="Palatino Linotype" w:eastAsia="Calibri" w:hAnsi="Palatino Linotype" w:cs="Mangal"/>
          <w:lang w:val="en-IN" w:bidi="hi-IN"/>
        </w:rPr>
        <w:t>, 2021</w:t>
      </w:r>
    </w:p>
    <w:p w:rsidR="008D1E7F" w:rsidRDefault="008D1E7F" w:rsidP="008D1E7F">
      <w:pPr>
        <w:jc w:val="center"/>
        <w:rPr>
          <w:rFonts w:ascii="Palatino Linotype" w:hAnsi="Palatino Linotype"/>
          <w:b/>
          <w:sz w:val="28"/>
          <w:szCs w:val="36"/>
          <w:u w:val="single"/>
        </w:rPr>
      </w:pPr>
    </w:p>
    <w:p w:rsidR="008D1E7F" w:rsidRDefault="008D1E7F" w:rsidP="008D1E7F">
      <w:pPr>
        <w:jc w:val="center"/>
        <w:rPr>
          <w:rFonts w:ascii="Palatino Linotype" w:hAnsi="Palatino Linotype"/>
          <w:b/>
          <w:sz w:val="28"/>
          <w:szCs w:val="36"/>
          <w:u w:val="single"/>
        </w:rPr>
      </w:pPr>
    </w:p>
    <w:p w:rsidR="008D1E7F" w:rsidRPr="00155195" w:rsidRDefault="008D1E7F" w:rsidP="008D1E7F">
      <w:pPr>
        <w:autoSpaceDE w:val="0"/>
        <w:autoSpaceDN w:val="0"/>
        <w:adjustRightInd w:val="0"/>
        <w:spacing w:after="160" w:line="259" w:lineRule="auto"/>
        <w:contextualSpacing/>
        <w:jc w:val="both"/>
        <w:rPr>
          <w:rFonts w:ascii="Palatino Linotype" w:eastAsia="Calibri" w:hAnsi="Palatino Linotype" w:cs="CIDFont+F3"/>
          <w:b/>
          <w:bCs/>
          <w:lang w:val="en-IN" w:bidi="hi-IN"/>
        </w:rPr>
      </w:pPr>
      <w:r>
        <w:rPr>
          <w:rFonts w:ascii="Palatino Linotype" w:eastAsia="Calibri" w:hAnsi="Palatino Linotype" w:cs="CIDFont+F3"/>
          <w:b/>
          <w:bCs/>
          <w:lang w:val="en-IN" w:bidi="hi-IN"/>
        </w:rPr>
        <w:t xml:space="preserve">7.   </w:t>
      </w:r>
      <w:r w:rsidRPr="00EB317D">
        <w:rPr>
          <w:rFonts w:ascii="Palatino Linotype" w:eastAsia="Calibri" w:hAnsi="Palatino Linotype" w:cs="CIDFont+F3"/>
          <w:b/>
          <w:bCs/>
          <w:lang w:val="en-IN" w:bidi="hi-IN"/>
        </w:rPr>
        <w:t>Block  Mechanism  in  demat  account  of  clients  undertaking  sale transactions</w:t>
      </w:r>
    </w:p>
    <w:p w:rsidR="008D1E7F" w:rsidRPr="00155195" w:rsidRDefault="008D1E7F" w:rsidP="008D1E7F">
      <w:pPr>
        <w:autoSpaceDE w:val="0"/>
        <w:autoSpaceDN w:val="0"/>
        <w:adjustRightInd w:val="0"/>
        <w:ind w:left="720"/>
        <w:contextualSpacing/>
        <w:rPr>
          <w:rFonts w:ascii="Palatino Linotype" w:eastAsia="Calibri" w:hAnsi="Palatino Linotype" w:cs="CIDFont+F3"/>
          <w:lang w:val="en-IN" w:bidi="hi-IN"/>
        </w:rPr>
      </w:pPr>
      <w:r>
        <w:rPr>
          <w:rFonts w:ascii="Palatino Linotype" w:eastAsia="Calibri" w:hAnsi="Palatino Linotype" w:cs="CIDFont+F3"/>
          <w:lang w:val="en-IN" w:bidi="hi-IN"/>
        </w:rPr>
        <w:t xml:space="preserve"> </w:t>
      </w:r>
    </w:p>
    <w:p w:rsidR="008D1E7F" w:rsidRDefault="008D1E7F" w:rsidP="008D1E7F">
      <w:pPr>
        <w:autoSpaceDE w:val="0"/>
        <w:autoSpaceDN w:val="0"/>
        <w:adjustRightInd w:val="0"/>
        <w:jc w:val="both"/>
        <w:rPr>
          <w:rFonts w:ascii="Palatino Linotype" w:eastAsia="Calibri" w:hAnsi="Palatino Linotype" w:cs="Mangal"/>
          <w:lang w:bidi="hi-IN"/>
        </w:rPr>
      </w:pPr>
      <w:r w:rsidRPr="00EB317D">
        <w:rPr>
          <w:rFonts w:ascii="Palatino Linotype" w:eastAsia="Calibri" w:hAnsi="Palatino Linotype" w:cs="Mangal"/>
          <w:lang w:bidi="hi-IN"/>
        </w:rPr>
        <w:t>SEBI has prescribed a mechanism  to do away with the movement of shares from client’s demat account for early pay-in and back to client’s demat account if trade is not executed. As per new mechanism, when the client intends to make a sale transaction, shares  will  be  blocked  in  the  demat  account  of  the  client  in  favour  of  Clearing Corporation. If sale transaction is not executed, shares shall continue to remain in the client’s demat account and will be unblocked at the end of the T day.</w:t>
      </w:r>
    </w:p>
    <w:p w:rsidR="008D1E7F" w:rsidRDefault="008D1E7F" w:rsidP="008D1E7F">
      <w:pPr>
        <w:autoSpaceDE w:val="0"/>
        <w:autoSpaceDN w:val="0"/>
        <w:adjustRightInd w:val="0"/>
        <w:jc w:val="both"/>
        <w:rPr>
          <w:rFonts w:ascii="Palatino Linotype" w:eastAsia="Calibri" w:hAnsi="Palatino Linotype" w:cs="CIDFont+F5"/>
          <w:lang w:val="en-IN" w:bidi="hi-IN"/>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t>Source:</w:t>
      </w:r>
      <w:r w:rsidRPr="00155195">
        <w:rPr>
          <w:rFonts w:ascii="Palatino Linotype" w:eastAsia="Calibri" w:hAnsi="Palatino Linotype" w:cs="Mangal"/>
          <w:lang w:val="en-IN" w:bidi="hi-IN"/>
        </w:rPr>
        <w:t xml:space="preserve"> </w:t>
      </w:r>
      <w:r w:rsidRPr="0058228C">
        <w:rPr>
          <w:rFonts w:ascii="Palatino Linotype" w:eastAsia="Calibri" w:hAnsi="Palatino Linotype" w:cs="Mangal"/>
          <w:lang w:val="en-IN" w:bidi="hi-IN"/>
        </w:rPr>
        <w:t>SEBI/HO/MIRSD/DOP/P/CIR/2021/595</w:t>
      </w:r>
      <w:r>
        <w:rPr>
          <w:rFonts w:ascii="Palatino Linotype" w:eastAsia="Calibri" w:hAnsi="Palatino Linotype" w:cs="Mangal"/>
          <w:lang w:val="en-IN" w:bidi="hi-IN"/>
        </w:rPr>
        <w:t xml:space="preserve"> </w:t>
      </w:r>
      <w:r w:rsidRPr="00155195">
        <w:rPr>
          <w:rFonts w:ascii="Palatino Linotype" w:eastAsia="Calibri" w:hAnsi="Palatino Linotype" w:cs="Mangal"/>
          <w:lang w:val="en-IN" w:bidi="hi-IN"/>
        </w:rPr>
        <w:t>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16</w:t>
      </w:r>
      <w:r w:rsidRPr="00155195">
        <w:rPr>
          <w:rFonts w:ascii="Palatino Linotype" w:eastAsia="Calibri" w:hAnsi="Palatino Linotype" w:cs="Mangal"/>
          <w:lang w:val="en-IN" w:bidi="hi-IN"/>
        </w:rPr>
        <w:t>, 2021</w:t>
      </w:r>
    </w:p>
    <w:p w:rsidR="008D1E7F" w:rsidRPr="00155195"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8</w:t>
      </w:r>
      <w:r w:rsidRPr="00D30341">
        <w:rPr>
          <w:rFonts w:ascii="Palatino Linotype" w:hAnsi="Palatino Linotype" w:cs="Courier New"/>
          <w:b/>
          <w:bCs/>
          <w:lang w:val="en-IN" w:eastAsia="en-IN" w:bidi="hi-IN"/>
        </w:rPr>
        <w:t>.</w:t>
      </w:r>
      <w:r w:rsidRPr="00D30341">
        <w:rPr>
          <w:rFonts w:ascii="Palatino Linotype" w:hAnsi="Palatino Linotype" w:cs="Courier New"/>
          <w:b/>
          <w:bCs/>
          <w:lang w:val="en-IN" w:eastAsia="en-IN" w:bidi="hi-IN"/>
        </w:rPr>
        <w:tab/>
      </w:r>
      <w:r w:rsidRPr="00EB317D">
        <w:rPr>
          <w:rFonts w:ascii="Palatino Linotype" w:hAnsi="Palatino Linotype" w:cs="Courier New"/>
          <w:b/>
          <w:bCs/>
          <w:lang w:val="en-IN" w:eastAsia="en-IN" w:bidi="hi-IN"/>
        </w:rPr>
        <w:t>Introduction of Expected Loss (EL) based Rating Scale and Standardization of Rating Scales Used by Credit Rating Agencies</w:t>
      </w:r>
    </w:p>
    <w:p w:rsidR="008D1E7F" w:rsidRPr="00155195" w:rsidRDefault="008D1E7F" w:rsidP="008D1E7F">
      <w:pPr>
        <w:spacing w:after="160" w:line="259" w:lineRule="auto"/>
        <w:contextualSpacing/>
        <w:jc w:val="both"/>
        <w:rPr>
          <w:rFonts w:ascii="Palatino Linotype" w:hAnsi="Palatino Linotype" w:cs="Courier New"/>
          <w:b/>
          <w:bCs/>
          <w:lang w:val="en-IN" w:eastAsia="en-IN" w:bidi="hi-IN"/>
        </w:rPr>
      </w:pPr>
    </w:p>
    <w:p w:rsidR="008D1E7F" w:rsidRDefault="008D1E7F" w:rsidP="008D1E7F">
      <w:pPr>
        <w:rPr>
          <w:rFonts w:ascii="Palatino Linotype" w:hAnsi="Palatino Linotype"/>
        </w:rPr>
      </w:pPr>
      <w:r w:rsidRPr="009D7C7C">
        <w:rPr>
          <w:rFonts w:ascii="Palatino Linotype" w:hAnsi="Palatino Linotype"/>
        </w:rPr>
        <w:t>In addition</w:t>
      </w:r>
      <w:r>
        <w:rPr>
          <w:rFonts w:ascii="Palatino Linotype" w:hAnsi="Palatino Linotype"/>
        </w:rPr>
        <w:t xml:space="preserve"> to </w:t>
      </w:r>
      <w:r w:rsidRPr="009D7C7C">
        <w:rPr>
          <w:rFonts w:ascii="Palatino Linotype" w:hAnsi="Palatino Linotype"/>
        </w:rPr>
        <w:t>the standardized</w:t>
      </w:r>
      <w:r>
        <w:rPr>
          <w:rFonts w:ascii="Palatino Linotype" w:hAnsi="Palatino Linotype"/>
        </w:rPr>
        <w:t xml:space="preserve"> </w:t>
      </w:r>
      <w:r w:rsidRPr="009D7C7C">
        <w:rPr>
          <w:rFonts w:ascii="Palatino Linotype" w:hAnsi="Palatino Linotype"/>
        </w:rPr>
        <w:t>rating  scales</w:t>
      </w:r>
      <w:r>
        <w:rPr>
          <w:rFonts w:ascii="Palatino Linotype" w:hAnsi="Palatino Linotype"/>
        </w:rPr>
        <w:t xml:space="preserve">, SEBI </w:t>
      </w:r>
      <w:r w:rsidRPr="009D7C7C">
        <w:rPr>
          <w:rFonts w:ascii="Palatino Linotype" w:hAnsi="Palatino Linotype"/>
        </w:rPr>
        <w:t xml:space="preserve">prescribed following rating scale viz. Expected Loss  </w:t>
      </w:r>
      <w:r>
        <w:rPr>
          <w:rFonts w:ascii="Palatino Linotype" w:hAnsi="Palatino Linotype"/>
        </w:rPr>
        <w:t>(</w:t>
      </w:r>
      <w:r w:rsidRPr="009D7C7C">
        <w:rPr>
          <w:rFonts w:ascii="Palatino Linotype" w:hAnsi="Palatino Linotype"/>
        </w:rPr>
        <w:t>EL) based Rating</w:t>
      </w:r>
      <w:r>
        <w:rPr>
          <w:rFonts w:ascii="Palatino Linotype" w:hAnsi="Palatino Linotype"/>
        </w:rPr>
        <w:t xml:space="preserve"> </w:t>
      </w:r>
      <w:r w:rsidRPr="009D7C7C">
        <w:rPr>
          <w:rFonts w:ascii="Palatino Linotype" w:hAnsi="Palatino Linotype"/>
        </w:rPr>
        <w:t xml:space="preserve">Scale </w:t>
      </w:r>
      <w:r>
        <w:rPr>
          <w:rFonts w:ascii="Palatino Linotype" w:hAnsi="Palatino Linotype"/>
        </w:rPr>
        <w:t xml:space="preserve">to </w:t>
      </w:r>
      <w:r w:rsidRPr="009D7C7C">
        <w:rPr>
          <w:rFonts w:ascii="Palatino Linotype" w:hAnsi="Palatino Linotype"/>
        </w:rPr>
        <w:t>be  used  by  CRAs  for  ratings of projects/  instruments</w:t>
      </w:r>
      <w:r>
        <w:rPr>
          <w:rFonts w:ascii="Palatino Linotype" w:hAnsi="Palatino Linotype"/>
        </w:rPr>
        <w:t xml:space="preserve"> </w:t>
      </w:r>
      <w:r w:rsidRPr="009D7C7C">
        <w:rPr>
          <w:rFonts w:ascii="Palatino Linotype" w:hAnsi="Palatino Linotype"/>
        </w:rPr>
        <w:t>associated with infrastructure sector</w:t>
      </w:r>
      <w:r>
        <w:rPr>
          <w:rFonts w:ascii="Palatino Linotype" w:hAnsi="Palatino Linotype"/>
        </w:rPr>
        <w:t xml:space="preserve"> </w:t>
      </w:r>
      <w:r w:rsidRPr="009D7C7C">
        <w:rPr>
          <w:rFonts w:ascii="Palatino Linotype" w:hAnsi="Palatino Linotype"/>
        </w:rPr>
        <w:t>to begin with</w:t>
      </w:r>
      <w:r>
        <w:rPr>
          <w:rFonts w:ascii="Palatino Linotype" w:hAnsi="Palatino Linotype"/>
        </w:rPr>
        <w:t>-</w:t>
      </w:r>
    </w:p>
    <w:p w:rsidR="008D1E7F" w:rsidRDefault="008D1E7F" w:rsidP="008D1E7F">
      <w:pPr>
        <w:rPr>
          <w:rFonts w:ascii="Palatino Linotype" w:hAnsi="Palatino Linotype"/>
        </w:rPr>
      </w:pPr>
    </w:p>
    <w:p w:rsidR="008D1E7F" w:rsidRDefault="008D1E7F" w:rsidP="008D1E7F">
      <w:pPr>
        <w:rPr>
          <w:rFonts w:ascii="Palatino Linotype" w:hAnsi="Palatino Linotype"/>
        </w:rPr>
      </w:pPr>
      <w:r w:rsidRPr="00EB317D">
        <w:rPr>
          <w:rFonts w:ascii="Palatino Linotype" w:hAnsi="Palatino Linotype"/>
          <w:noProof/>
          <w:lang w:val="en-IN" w:eastAsia="en-IN" w:bidi="hi-IN"/>
        </w:rPr>
        <w:drawing>
          <wp:inline distT="0" distB="0" distL="0" distR="0" wp14:anchorId="6E7BE4E5" wp14:editId="22091FED">
            <wp:extent cx="5724525" cy="2914650"/>
            <wp:effectExtent l="0" t="0" r="9525" b="0"/>
            <wp:docPr id="2" name="Picture 2" descr="D:\vimal backup\SEBI WORK 2 - Commodity Research Division\2021-22 DEPA1\Weekly Report - AO Order\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mal backup\SEBI WORK 2 - Commodity Research Division\2021-22 DEPA1\Weekly Report - AO Order\cr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8D1E7F" w:rsidRPr="009D7C7C" w:rsidRDefault="008D1E7F" w:rsidP="008D1E7F">
      <w:pPr>
        <w:rPr>
          <w:rFonts w:ascii="Palatino Linotype" w:hAnsi="Palatino Linotype"/>
        </w:rPr>
      </w:pPr>
    </w:p>
    <w:p w:rsidR="008D1E7F" w:rsidRDefault="008D1E7F" w:rsidP="008D1E7F">
      <w:pPr>
        <w:jc w:val="both"/>
        <w:rPr>
          <w:rFonts w:ascii="Palatino Linotype" w:hAnsi="Palatino Linotype"/>
        </w:rPr>
      </w:pPr>
      <w:r w:rsidRPr="00333FD8">
        <w:rPr>
          <w:rFonts w:ascii="Palatino Linotype" w:hAnsi="Palatino Linotype"/>
        </w:rPr>
        <w:t xml:space="preserve">In  order  to </w:t>
      </w:r>
      <w:r>
        <w:rPr>
          <w:rFonts w:ascii="Palatino Linotype" w:hAnsi="Palatino Linotype"/>
        </w:rPr>
        <w:t xml:space="preserve">standardise </w:t>
      </w:r>
      <w:r w:rsidRPr="00333FD8">
        <w:rPr>
          <w:rFonts w:ascii="Palatino Linotype" w:hAnsi="Palatino Linotype"/>
        </w:rPr>
        <w:t xml:space="preserve">the  usage  of  rating  scales, </w:t>
      </w:r>
      <w:r>
        <w:rPr>
          <w:rFonts w:ascii="Palatino Linotype" w:hAnsi="Palatino Linotype"/>
        </w:rPr>
        <w:t xml:space="preserve">CRAs have been asked to align their rating scales with the rating scales prescribed under the guidelines of respective financial sector regulator or authority in terms of CRA Regulations, or in absence of the same, follow rating scales prescribed by SEBI. </w:t>
      </w:r>
    </w:p>
    <w:p w:rsidR="008D1E7F" w:rsidRDefault="008D1E7F" w:rsidP="008D1E7F">
      <w:pPr>
        <w:jc w:val="both"/>
        <w:rPr>
          <w:rFonts w:ascii="Palatino Linotype" w:hAnsi="Palatino Linotype"/>
        </w:rPr>
      </w:pPr>
    </w:p>
    <w:p w:rsidR="008D1E7F" w:rsidRPr="00155195" w:rsidRDefault="008D1E7F" w:rsidP="008D1E7F">
      <w:pPr>
        <w:autoSpaceDE w:val="0"/>
        <w:autoSpaceDN w:val="0"/>
        <w:adjustRightInd w:val="0"/>
        <w:jc w:val="both"/>
        <w:rPr>
          <w:rFonts w:ascii="Palatino Linotype" w:eastAsia="Calibri" w:hAnsi="Palatino Linotype" w:cs="Mangal"/>
          <w:lang w:val="en-IN" w:bidi="hi-IN"/>
        </w:rPr>
      </w:pPr>
      <w:r w:rsidRPr="00155195">
        <w:rPr>
          <w:rFonts w:ascii="Palatino Linotype" w:eastAsia="Calibri" w:hAnsi="Palatino Linotype" w:cs="CIDFont+F5"/>
          <w:lang w:val="en-IN" w:bidi="hi-IN"/>
        </w:rPr>
        <w:lastRenderedPageBreak/>
        <w:t>Source:</w:t>
      </w:r>
      <w:r w:rsidRPr="00155195">
        <w:rPr>
          <w:rFonts w:ascii="Palatino Linotype" w:eastAsia="Calibri" w:hAnsi="Palatino Linotype" w:cs="Mangal"/>
          <w:lang w:val="en-IN" w:bidi="hi-IN"/>
        </w:rPr>
        <w:t xml:space="preserve"> </w:t>
      </w:r>
      <w:r w:rsidRPr="0058228C">
        <w:rPr>
          <w:rFonts w:ascii="Palatino Linotype" w:eastAsia="Calibri" w:hAnsi="Palatino Linotype" w:cs="Mangal"/>
          <w:lang w:val="en-IN" w:bidi="hi-IN"/>
        </w:rPr>
        <w:t>SEBI/HO/MIRSD/MIRSD_CRADT/P/CIR/2021/594</w:t>
      </w:r>
      <w:r w:rsidRPr="00155195">
        <w:rPr>
          <w:rFonts w:ascii="Palatino Linotype" w:eastAsia="Calibri" w:hAnsi="Palatino Linotype" w:cs="Mangal"/>
          <w:lang w:val="en-IN" w:bidi="hi-IN"/>
        </w:rPr>
        <w:t xml:space="preserve"> dated Ju</w:t>
      </w:r>
      <w:r>
        <w:rPr>
          <w:rFonts w:ascii="Palatino Linotype" w:eastAsia="Calibri" w:hAnsi="Palatino Linotype" w:cs="Mangal"/>
          <w:lang w:val="en-IN" w:bidi="hi-IN"/>
        </w:rPr>
        <w:t>ly</w:t>
      </w:r>
      <w:r w:rsidRPr="00155195">
        <w:rPr>
          <w:rFonts w:ascii="Palatino Linotype" w:eastAsia="Calibri" w:hAnsi="Palatino Linotype" w:cs="Mangal"/>
          <w:lang w:val="en-IN" w:bidi="hi-IN"/>
        </w:rPr>
        <w:t xml:space="preserve"> </w:t>
      </w:r>
      <w:r>
        <w:rPr>
          <w:rFonts w:ascii="Palatino Linotype" w:eastAsia="Calibri" w:hAnsi="Palatino Linotype" w:cs="Mangal"/>
          <w:lang w:val="en-IN" w:bidi="hi-IN"/>
        </w:rPr>
        <w:t>16</w:t>
      </w:r>
      <w:r w:rsidRPr="00155195">
        <w:rPr>
          <w:rFonts w:ascii="Palatino Linotype" w:eastAsia="Calibri" w:hAnsi="Palatino Linotype" w:cs="Mangal"/>
          <w:lang w:val="en-IN" w:bidi="hi-IN"/>
        </w:rPr>
        <w:t>, 2021</w:t>
      </w:r>
    </w:p>
    <w:p w:rsidR="008D1E7F" w:rsidRDefault="008D1E7F" w:rsidP="008D1E7F">
      <w:pPr>
        <w:autoSpaceDE w:val="0"/>
        <w:autoSpaceDN w:val="0"/>
        <w:adjustRightInd w:val="0"/>
        <w:jc w:val="both"/>
        <w:rPr>
          <w:rFonts w:ascii="Palatino Linotype" w:eastAsia="Calibri" w:hAnsi="Palatino Linotype" w:cs="Mangal"/>
          <w:lang w:val="en-IN" w:bidi="hi-IN"/>
        </w:rPr>
      </w:pPr>
    </w:p>
    <w:p w:rsidR="008D1E7F" w:rsidRDefault="008D1E7F" w:rsidP="008D1E7F">
      <w:pPr>
        <w:jc w:val="center"/>
        <w:rPr>
          <w:rFonts w:ascii="Palatino Linotype" w:hAnsi="Palatino Linotype"/>
          <w:b/>
          <w:sz w:val="28"/>
          <w:szCs w:val="36"/>
          <w:u w:val="single"/>
        </w:rPr>
      </w:pPr>
    </w:p>
    <w:p w:rsidR="008D1E7F" w:rsidRPr="009B3DCF" w:rsidRDefault="008D1E7F" w:rsidP="008D1E7F">
      <w:pPr>
        <w:autoSpaceDE w:val="0"/>
        <w:autoSpaceDN w:val="0"/>
        <w:adjustRightInd w:val="0"/>
        <w:spacing w:after="160" w:line="259" w:lineRule="auto"/>
        <w:contextualSpacing/>
        <w:jc w:val="both"/>
        <w:rPr>
          <w:rFonts w:ascii="Palatino Linotype" w:eastAsia="Calibri" w:hAnsi="Palatino Linotype" w:cs="CIDFont+F3"/>
          <w:b/>
          <w:bCs/>
          <w:lang w:val="en-IN" w:bidi="hi-IN"/>
        </w:rPr>
      </w:pPr>
      <w:r>
        <w:rPr>
          <w:rFonts w:ascii="Palatino Linotype" w:eastAsia="Calibri" w:hAnsi="Palatino Linotype" w:cs="CIDFont+F3"/>
          <w:b/>
          <w:bCs/>
          <w:lang w:val="en-IN" w:bidi="hi-IN"/>
        </w:rPr>
        <w:t>9</w:t>
      </w:r>
      <w:r w:rsidRPr="009B3DCF">
        <w:rPr>
          <w:rFonts w:ascii="Palatino Linotype" w:eastAsia="Calibri" w:hAnsi="Palatino Linotype" w:cs="CIDFont+F3"/>
          <w:b/>
          <w:bCs/>
          <w:lang w:val="en-IN" w:bidi="hi-IN"/>
        </w:rPr>
        <w:t>.   Segregation and Monitoring of Collateral at Client Level</w:t>
      </w:r>
      <w:r w:rsidRPr="009B3DCF">
        <w:rPr>
          <w:rFonts w:ascii="Palatino Linotype" w:eastAsia="Calibri" w:hAnsi="Palatino Linotype" w:cs="CIDFont+F3"/>
          <w:lang w:val="en-IN" w:bidi="hi-IN"/>
        </w:rPr>
        <w:t xml:space="preserve"> </w:t>
      </w:r>
    </w:p>
    <w:p w:rsidR="008D1E7F" w:rsidRPr="009B3DCF" w:rsidRDefault="008D1E7F" w:rsidP="008D1E7F">
      <w:pPr>
        <w:spacing w:after="160" w:line="259" w:lineRule="auto"/>
        <w:contextualSpacing/>
        <w:jc w:val="both"/>
        <w:rPr>
          <w:rFonts w:ascii="Palatino Linotype" w:hAnsi="Palatino Linotype" w:cs="Courier New"/>
          <w:b/>
          <w:bCs/>
          <w:lang w:val="en-IN" w:eastAsia="en-IN" w:bidi="hi-IN"/>
        </w:rPr>
      </w:pPr>
      <w:r w:rsidRPr="009B3DCF">
        <w:rPr>
          <w:rFonts w:ascii="Palatino Linotype" w:hAnsi="Palatino Linotype" w:cs="Courier New"/>
          <w:b/>
          <w:bCs/>
          <w:lang w:val="en-IN" w:eastAsia="en-IN" w:bidi="hi-IN"/>
        </w:rPr>
        <w:t xml:space="preserve"> </w:t>
      </w:r>
    </w:p>
    <w:p w:rsidR="008D1E7F" w:rsidRPr="009B3DCF" w:rsidRDefault="008D1E7F" w:rsidP="008D1E7F">
      <w:pPr>
        <w:spacing w:after="160" w:line="259" w:lineRule="auto"/>
        <w:contextualSpacing/>
        <w:jc w:val="both"/>
        <w:rPr>
          <w:rFonts w:ascii="Palatino Linotype" w:hAnsi="Palatino Linotype" w:cs="Courier New"/>
          <w:lang w:val="en-IN" w:eastAsia="en-IN" w:bidi="hi-IN"/>
        </w:rPr>
      </w:pPr>
      <w:r w:rsidRPr="009B3DCF">
        <w:rPr>
          <w:rFonts w:ascii="Palatino Linotype" w:hAnsi="Palatino Linotype" w:cs="Courier New"/>
          <w:lang w:val="en-IN" w:eastAsia="en-IN" w:bidi="hi-IN"/>
        </w:rPr>
        <w:t xml:space="preserve">In order to further strengthen the mechanism of protection of client collateral from (i) misappropriation/ misuse by TM/ CM and (ii) default of TM/CM and/or other clients, SEBI issued a consultation paper on May 10, 2021 requesting market participants to provide their comments/ views on the proposed framework for segregation and monitoring of collateral at client level. </w:t>
      </w:r>
    </w:p>
    <w:p w:rsidR="008D1E7F" w:rsidRPr="009B3DCF" w:rsidRDefault="008D1E7F" w:rsidP="008D1E7F">
      <w:pPr>
        <w:spacing w:after="160" w:line="259" w:lineRule="auto"/>
        <w:contextualSpacing/>
        <w:jc w:val="both"/>
        <w:rPr>
          <w:rFonts w:ascii="Palatino Linotype" w:hAnsi="Palatino Linotype" w:cs="Courier New"/>
          <w:lang w:val="en-IN" w:eastAsia="en-IN" w:bidi="hi-IN"/>
        </w:rPr>
      </w:pPr>
      <w:r w:rsidRPr="009B3DCF">
        <w:rPr>
          <w:rFonts w:ascii="Palatino Linotype" w:hAnsi="Palatino Linotype" w:cs="Courier New"/>
          <w:lang w:val="en-IN" w:eastAsia="en-IN" w:bidi="hi-IN"/>
        </w:rPr>
        <w:t xml:space="preserve"> </w:t>
      </w:r>
    </w:p>
    <w:p w:rsidR="008D1E7F" w:rsidRPr="009B3DCF" w:rsidRDefault="008D1E7F" w:rsidP="008D1E7F">
      <w:pPr>
        <w:spacing w:after="160" w:line="259" w:lineRule="auto"/>
        <w:contextualSpacing/>
        <w:jc w:val="both"/>
        <w:rPr>
          <w:rFonts w:ascii="Palatino Linotype" w:hAnsi="Palatino Linotype" w:cs="Courier New"/>
          <w:lang w:val="en-IN" w:eastAsia="en-IN" w:bidi="hi-IN"/>
        </w:rPr>
      </w:pPr>
      <w:r w:rsidRPr="009B3DCF">
        <w:rPr>
          <w:rFonts w:ascii="Palatino Linotype" w:hAnsi="Palatino Linotype" w:cs="Courier New"/>
          <w:lang w:val="en-IN" w:eastAsia="en-IN" w:bidi="hi-IN"/>
        </w:rPr>
        <w:t xml:space="preserve">In light of the public comments and discussions with the stakeholders, a framework for segregation and monitoring of collateral at client level was issued. </w:t>
      </w:r>
    </w:p>
    <w:p w:rsidR="008D1E7F" w:rsidRPr="009B3DCF" w:rsidRDefault="008D1E7F" w:rsidP="008D1E7F">
      <w:pPr>
        <w:autoSpaceDE w:val="0"/>
        <w:autoSpaceDN w:val="0"/>
        <w:adjustRightInd w:val="0"/>
        <w:jc w:val="both"/>
        <w:rPr>
          <w:rFonts w:ascii="Palatino Linotype" w:eastAsia="Calibri" w:hAnsi="Palatino Linotype" w:cs="CIDFont+F5"/>
          <w:lang w:val="en-IN" w:bidi="hi-IN"/>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r w:rsidRPr="009B3DCF">
        <w:rPr>
          <w:rFonts w:ascii="Palatino Linotype" w:eastAsia="Calibri" w:hAnsi="Palatino Linotype" w:cs="CIDFont+F5"/>
          <w:lang w:val="en-IN" w:bidi="hi-IN"/>
        </w:rPr>
        <w:t>Source:</w:t>
      </w:r>
      <w:r w:rsidRPr="009B3DCF">
        <w:rPr>
          <w:rFonts w:ascii="Palatino Linotype" w:eastAsia="Calibri" w:hAnsi="Palatino Linotype" w:cs="Mangal"/>
          <w:lang w:val="en-IN" w:bidi="hi-IN"/>
        </w:rPr>
        <w:t xml:space="preserve"> SEBI/HO/MRD2_DCAP/CIR/20210/598 dated July 20, 2021</w:t>
      </w: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9B3DCF" w:rsidRDefault="008D1E7F" w:rsidP="008D1E7F">
      <w:pPr>
        <w:spacing w:after="160" w:line="259" w:lineRule="auto"/>
        <w:contextualSpacing/>
        <w:jc w:val="both"/>
        <w:rPr>
          <w:rFonts w:ascii="Palatino Linotype" w:hAnsi="Palatino Linotype" w:cs="Courier New"/>
          <w:b/>
          <w:bCs/>
          <w:lang w:val="en-IN" w:eastAsia="en-IN" w:bidi="hi-IN"/>
        </w:rPr>
      </w:pPr>
      <w:r>
        <w:rPr>
          <w:rFonts w:ascii="Palatino Linotype" w:hAnsi="Palatino Linotype" w:cs="Courier New"/>
          <w:b/>
          <w:bCs/>
          <w:lang w:val="en-IN" w:eastAsia="en-IN" w:bidi="hi-IN"/>
        </w:rPr>
        <w:t>10</w:t>
      </w:r>
      <w:r w:rsidRPr="009B3DCF">
        <w:rPr>
          <w:rFonts w:ascii="Palatino Linotype" w:hAnsi="Palatino Linotype" w:cs="Courier New"/>
          <w:b/>
          <w:bCs/>
          <w:lang w:val="en-IN" w:eastAsia="en-IN" w:bidi="hi-IN"/>
        </w:rPr>
        <w:t>.</w:t>
      </w:r>
      <w:r w:rsidRPr="009B3DCF">
        <w:rPr>
          <w:rFonts w:ascii="Palatino Linotype" w:hAnsi="Palatino Linotype" w:cs="Courier New"/>
          <w:b/>
          <w:bCs/>
          <w:lang w:val="en-IN" w:eastAsia="en-IN" w:bidi="hi-IN"/>
        </w:rPr>
        <w:tab/>
        <w:t>Relaxations in Timelines for Compliance with Regulatory Requirements by Debenture Trustees due to COVID-19</w:t>
      </w:r>
    </w:p>
    <w:p w:rsidR="008D1E7F" w:rsidRPr="009B3DCF" w:rsidRDefault="008D1E7F" w:rsidP="008D1E7F">
      <w:pPr>
        <w:spacing w:after="160" w:line="259" w:lineRule="auto"/>
        <w:contextualSpacing/>
        <w:jc w:val="both"/>
        <w:rPr>
          <w:rFonts w:ascii="Palatino Linotype" w:hAnsi="Palatino Linotype" w:cs="Courier New"/>
          <w:lang w:val="en-IN" w:eastAsia="en-IN" w:bidi="hi-IN"/>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In view of the prevailing situation due to COVID-19 pandemic and representations received from the debenture trustees, timelines for compliance with the certain regulatory requirements of the SEBI circular dated November 12, 2020 for the quarter/ half year/ year ending March 31, 2021 were extended. </w:t>
      </w:r>
    </w:p>
    <w:p w:rsidR="008D1E7F" w:rsidRPr="009B3DCF" w:rsidRDefault="008D1E7F" w:rsidP="008D1E7F">
      <w:pPr>
        <w:jc w:val="both"/>
        <w:rPr>
          <w:rFonts w:ascii="Palatino Linotype" w:hAnsi="Palatino Linotype"/>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r w:rsidRPr="009B3DCF">
        <w:rPr>
          <w:rFonts w:ascii="Palatino Linotype" w:eastAsia="Calibri" w:hAnsi="Palatino Linotype" w:cs="CIDFont+F5"/>
          <w:lang w:val="en-IN" w:bidi="hi-IN"/>
        </w:rPr>
        <w:t>Source:</w:t>
      </w:r>
      <w:r w:rsidRPr="009B3DCF">
        <w:rPr>
          <w:rFonts w:ascii="Palatino Linotype" w:eastAsia="Calibri" w:hAnsi="Palatino Linotype" w:cs="Mangal"/>
          <w:lang w:val="en-IN" w:bidi="hi-IN"/>
        </w:rPr>
        <w:t xml:space="preserve"> SEBI/HO/MIRSD/CRADT/CIR/2021/597 dated July 20, 2021</w:t>
      </w: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9B3DCF" w:rsidRDefault="008D1E7F" w:rsidP="008D1E7F">
      <w:pPr>
        <w:autoSpaceDE w:val="0"/>
        <w:autoSpaceDN w:val="0"/>
        <w:adjustRightInd w:val="0"/>
        <w:rPr>
          <w:rFonts w:ascii="Palatino Linotype" w:hAnsi="Palatino Linotype" w:cs="Courier New"/>
          <w:b/>
          <w:bCs/>
          <w:lang w:val="en-IN" w:eastAsia="en-IN" w:bidi="hi-IN"/>
        </w:rPr>
      </w:pPr>
      <w:r w:rsidRPr="008D1E7F">
        <w:rPr>
          <w:rFonts w:ascii="Palatino Linotype" w:eastAsia="Calibri" w:hAnsi="Palatino Linotype" w:cs="Calibri"/>
          <w:b/>
          <w:bCs/>
          <w:color w:val="000000"/>
          <w:lang w:val="en-IN" w:bidi="hi-IN"/>
        </w:rPr>
        <w:t>11.</w:t>
      </w:r>
      <w:r w:rsidRPr="009B3DCF">
        <w:rPr>
          <w:rFonts w:ascii="Palatino Linotype" w:eastAsia="Calibri" w:hAnsi="Palatino Linotype" w:cs="Calibri"/>
          <w:color w:val="000000"/>
          <w:lang w:val="en-IN" w:bidi="hi-IN"/>
        </w:rPr>
        <w:t xml:space="preserve"> </w:t>
      </w:r>
      <w:r w:rsidRPr="009B3DCF">
        <w:rPr>
          <w:rFonts w:ascii="Palatino Linotype" w:hAnsi="Palatino Linotype" w:cs="Courier New"/>
          <w:b/>
          <w:bCs/>
          <w:lang w:val="en-IN" w:eastAsia="en-IN" w:bidi="hi-IN"/>
        </w:rPr>
        <w:t>Continuous Disclosures in Compliances by InvITs – Amendments</w:t>
      </w:r>
    </w:p>
    <w:p w:rsidR="008D1E7F" w:rsidRPr="009B3DCF" w:rsidRDefault="008D1E7F" w:rsidP="008D1E7F">
      <w:pPr>
        <w:autoSpaceDE w:val="0"/>
        <w:autoSpaceDN w:val="0"/>
        <w:adjustRightInd w:val="0"/>
        <w:rPr>
          <w:rFonts w:ascii="Palatino Linotype" w:hAnsi="Palatino Linotype" w:cs="Courier New"/>
          <w:b/>
          <w:bCs/>
          <w:lang w:val="en-IN" w:eastAsia="en-IN" w:bidi="hi-IN"/>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Vide circular No. CIR/IMD/DF/127/2016 dated November 29, 2016  guidelines for Grievance Redressal Mechanism for InvITs were prescribed inter alia.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In order to further enhance investor protection and to increase transparency in grievance redressal, Para 5.3 of Annexure B of SEBI Circular No CIR/IMD/DF/127/2016 dated November 29, 2016 stands modified.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 </w:t>
      </w:r>
    </w:p>
    <w:p w:rsidR="008D1E7F" w:rsidRPr="009B3DCF" w:rsidRDefault="008D1E7F" w:rsidP="008D1E7F">
      <w:pPr>
        <w:pStyle w:val="Default"/>
        <w:rPr>
          <w:rFonts w:ascii="Palatino Linotype" w:hAnsi="Palatino Linotype" w:cs="Mangal"/>
          <w:color w:val="auto"/>
          <w:lang w:val="en-IN" w:bidi="hi-IN"/>
        </w:rPr>
      </w:pPr>
      <w:r w:rsidRPr="009B3DCF">
        <w:rPr>
          <w:rFonts w:ascii="Palatino Linotype" w:hAnsi="Palatino Linotype" w:cs="Mangal"/>
          <w:color w:val="auto"/>
          <w:lang w:val="en-IN" w:bidi="hi-IN"/>
        </w:rPr>
        <w:t>Source:  SEBI/HO/DDHS/DDHS_Div3/P/CIR/2021/600 dated July 22, 2021</w:t>
      </w:r>
    </w:p>
    <w:p w:rsidR="008D1E7F" w:rsidRDefault="008D1E7F" w:rsidP="008D1E7F">
      <w:pPr>
        <w:pStyle w:val="Default"/>
        <w:rPr>
          <w:rFonts w:ascii="Palatino Linotype" w:hAnsi="Palatino Linotype" w:cs="Mangal"/>
          <w:color w:val="auto"/>
          <w:lang w:val="en-IN" w:bidi="hi-IN"/>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9B3DCF" w:rsidRDefault="008D1E7F" w:rsidP="008D1E7F">
      <w:pPr>
        <w:pStyle w:val="Default"/>
        <w:jc w:val="both"/>
        <w:rPr>
          <w:rFonts w:ascii="Palatino Linotype" w:hAnsi="Palatino Linotype" w:cs="Courier New"/>
          <w:b/>
          <w:bCs/>
          <w:color w:val="auto"/>
          <w:lang w:val="en-IN" w:eastAsia="en-IN" w:bidi="hi-IN"/>
        </w:rPr>
      </w:pPr>
      <w:r w:rsidRPr="008D1E7F">
        <w:rPr>
          <w:rFonts w:ascii="Palatino Linotype" w:hAnsi="Palatino Linotype" w:cs="Courier New"/>
          <w:b/>
          <w:bCs/>
          <w:color w:val="auto"/>
          <w:lang w:val="en-IN" w:eastAsia="en-IN" w:bidi="hi-IN"/>
        </w:rPr>
        <w:t>12.</w:t>
      </w:r>
      <w:r w:rsidRPr="009B3DCF">
        <w:rPr>
          <w:rFonts w:ascii="Palatino Linotype" w:hAnsi="Palatino Linotype" w:cs="Courier New"/>
          <w:color w:val="auto"/>
          <w:lang w:val="en-IN" w:eastAsia="en-IN" w:bidi="hi-IN"/>
        </w:rPr>
        <w:t xml:space="preserve"> </w:t>
      </w:r>
      <w:r w:rsidRPr="009B3DCF">
        <w:rPr>
          <w:rFonts w:ascii="Palatino Linotype" w:hAnsi="Palatino Linotype" w:cs="Courier New"/>
          <w:b/>
          <w:bCs/>
          <w:lang w:val="en-IN" w:eastAsia="en-IN" w:bidi="hi-IN"/>
        </w:rPr>
        <w:t>Continuous</w:t>
      </w:r>
      <w:r w:rsidRPr="009B3DCF">
        <w:rPr>
          <w:rFonts w:ascii="Palatino Linotype" w:hAnsi="Palatino Linotype" w:cs="Courier New"/>
          <w:b/>
          <w:bCs/>
          <w:color w:val="auto"/>
          <w:lang w:val="en-IN" w:eastAsia="en-IN" w:bidi="hi-IN"/>
        </w:rPr>
        <w:t xml:space="preserve"> Disclosures in Compliances by REITs </w:t>
      </w:r>
      <w:r w:rsidRPr="009B3DCF">
        <w:rPr>
          <w:rFonts w:ascii="Palatino Linotype" w:hAnsi="Palatino Linotype" w:cs="Courier New"/>
          <w:b/>
          <w:bCs/>
          <w:lang w:val="en-IN" w:eastAsia="en-IN" w:bidi="hi-IN"/>
        </w:rPr>
        <w:t>–</w:t>
      </w:r>
      <w:r w:rsidRPr="009B3DCF">
        <w:rPr>
          <w:rFonts w:ascii="Palatino Linotype" w:hAnsi="Palatino Linotype" w:cs="Courier New"/>
          <w:b/>
          <w:bCs/>
          <w:color w:val="auto"/>
          <w:lang w:val="en-IN" w:eastAsia="en-IN" w:bidi="hi-IN"/>
        </w:rPr>
        <w:t xml:space="preserve"> Amendments</w:t>
      </w:r>
    </w:p>
    <w:p w:rsidR="008D1E7F" w:rsidRPr="009B3DCF" w:rsidRDefault="008D1E7F" w:rsidP="008D1E7F">
      <w:pPr>
        <w:pStyle w:val="Default"/>
        <w:jc w:val="both"/>
        <w:rPr>
          <w:rFonts w:ascii="Palatino Linotype" w:hAnsi="Palatino Linotype" w:cs="Courier New"/>
          <w:color w:val="auto"/>
          <w:lang w:val="en-IN" w:eastAsia="en-IN" w:bidi="hi-IN"/>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lastRenderedPageBreak/>
        <w:t xml:space="preserve">Vide circular No. CIR/IMD/DF/146/2016 dated December 29, 2016 guidelines for Grievance Redressal Mechanism for REITs were prescribed inter alia. </w:t>
      </w:r>
    </w:p>
    <w:p w:rsidR="008D1E7F" w:rsidRPr="009B3DCF" w:rsidRDefault="008D1E7F" w:rsidP="008D1E7F">
      <w:pPr>
        <w:pStyle w:val="Default"/>
        <w:jc w:val="both"/>
        <w:rPr>
          <w:rFonts w:ascii="Palatino Linotype" w:hAnsi="Palatino Linotype" w:cs="Courier New"/>
          <w:color w:val="auto"/>
          <w:lang w:val="en-IN" w:eastAsia="en-IN" w:bidi="hi-IN"/>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In order to further enhance investor protection and to increase transparency in grievance redressal, Para 5.3 of Annexure B of SEBI Circular No CIR/IMD/DF/146/2016 dated December 29, 2016 stands modified. </w:t>
      </w:r>
    </w:p>
    <w:p w:rsidR="008D1E7F" w:rsidRPr="009B3DCF" w:rsidRDefault="008D1E7F" w:rsidP="008D1E7F">
      <w:pPr>
        <w:rPr>
          <w:rFonts w:ascii="Palatino Linotype" w:hAnsi="Palatino Linotype" w:cs="Arial"/>
          <w:sz w:val="23"/>
          <w:szCs w:val="23"/>
        </w:rPr>
      </w:pPr>
    </w:p>
    <w:p w:rsidR="008D1E7F" w:rsidRPr="009B3DCF" w:rsidRDefault="008D1E7F" w:rsidP="008D1E7F">
      <w:pPr>
        <w:autoSpaceDE w:val="0"/>
        <w:autoSpaceDN w:val="0"/>
        <w:adjustRightInd w:val="0"/>
        <w:rPr>
          <w:rFonts w:ascii="Palatino Linotype" w:eastAsia="Calibri" w:hAnsi="Palatino Linotype" w:cs="Calibri"/>
          <w:color w:val="000000"/>
          <w:lang w:val="en-IN" w:bidi="hi-IN"/>
        </w:rPr>
      </w:pPr>
      <w:r w:rsidRPr="009B3DCF">
        <w:rPr>
          <w:rFonts w:ascii="Palatino Linotype" w:eastAsia="Calibri" w:hAnsi="Palatino Linotype" w:cs="Mangal"/>
          <w:lang w:val="en-IN" w:bidi="hi-IN"/>
        </w:rPr>
        <w:t>Source:  SEBI/HO/DDHS/DDHS_Div3/P/CIR/2021/599 dated July 22, 2021</w:t>
      </w:r>
    </w:p>
    <w:p w:rsidR="008D1E7F" w:rsidRPr="009B3DCF" w:rsidRDefault="008D1E7F" w:rsidP="008D1E7F">
      <w:pPr>
        <w:spacing w:after="120"/>
        <w:rPr>
          <w:rFonts w:ascii="Palatino Linotype" w:eastAsia="Calibri" w:hAnsi="Palatino Linotype" w:cs="Arial"/>
          <w:i/>
          <w:szCs w:val="32"/>
        </w:rPr>
      </w:pPr>
    </w:p>
    <w:p w:rsidR="008D1E7F" w:rsidRPr="009B3DCF" w:rsidRDefault="008D1E7F" w:rsidP="008D1E7F">
      <w:pPr>
        <w:spacing w:after="120"/>
        <w:rPr>
          <w:rFonts w:ascii="Palatino Linotype" w:eastAsia="Calibri" w:hAnsi="Palatino Linotype" w:cs="Arial"/>
          <w:iCs/>
          <w:szCs w:val="32"/>
        </w:rPr>
      </w:pPr>
      <w:r>
        <w:rPr>
          <w:rFonts w:ascii="Palatino Linotype" w:eastAsia="Calibri" w:hAnsi="Palatino Linotype" w:cs="Arial"/>
          <w:b/>
          <w:bCs/>
          <w:iCs/>
          <w:szCs w:val="32"/>
        </w:rPr>
        <w:t>13</w:t>
      </w:r>
      <w:r w:rsidRPr="009B3DCF">
        <w:rPr>
          <w:rFonts w:ascii="Palatino Linotype" w:eastAsia="Calibri" w:hAnsi="Palatino Linotype" w:cs="Arial"/>
          <w:iCs/>
          <w:szCs w:val="32"/>
        </w:rPr>
        <w:t xml:space="preserve">. </w:t>
      </w:r>
      <w:r w:rsidRPr="009B3DCF">
        <w:rPr>
          <w:rFonts w:ascii="Palatino Linotype" w:hAnsi="Palatino Linotype" w:cs="Courier New"/>
          <w:b/>
          <w:bCs/>
          <w:lang w:val="en-IN" w:eastAsia="en-IN" w:bidi="hi-IN"/>
        </w:rPr>
        <w:t>Nomination for Eligible trading and Demat Accounts</w:t>
      </w:r>
    </w:p>
    <w:p w:rsidR="008D1E7F" w:rsidRPr="009B3DCF" w:rsidRDefault="008D1E7F" w:rsidP="008D1E7F">
      <w:pPr>
        <w:pStyle w:val="Default"/>
        <w:rPr>
          <w:rFonts w:ascii="Palatino Linotype" w:hAnsi="Palatino Linotype"/>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Section 73 of Companies Act, 2013 provides for nomination by a holder of securities. Investors opening new trading and or demat account(s) on or after October 01, 2021, shall have the choice of providing nomination or opting out </w:t>
      </w:r>
      <w:r w:rsidR="00F97E86">
        <w:rPr>
          <w:rFonts w:ascii="Palatino Linotype" w:hAnsi="Palatino Linotype" w:cs="Courier New"/>
          <w:color w:val="auto"/>
          <w:lang w:val="en-IN" w:eastAsia="en-IN" w:bidi="hi-IN"/>
        </w:rPr>
        <w:t xml:space="preserve">of </w:t>
      </w:r>
      <w:r w:rsidRPr="009B3DCF">
        <w:rPr>
          <w:rFonts w:ascii="Palatino Linotype" w:hAnsi="Palatino Linotype" w:cs="Courier New"/>
          <w:color w:val="auto"/>
          <w:lang w:val="en-IN" w:eastAsia="en-IN" w:bidi="hi-IN"/>
        </w:rPr>
        <w:t>nomination</w:t>
      </w:r>
      <w:r w:rsidR="00F97E86">
        <w:rPr>
          <w:rFonts w:ascii="Palatino Linotype" w:hAnsi="Palatino Linotype" w:cs="Courier New"/>
          <w:color w:val="auto"/>
          <w:lang w:val="en-IN" w:eastAsia="en-IN" w:bidi="hi-IN"/>
        </w:rPr>
        <w:t>.</w:t>
      </w:r>
      <w:r w:rsidRPr="009B3DCF">
        <w:rPr>
          <w:rFonts w:ascii="Palatino Linotype" w:hAnsi="Palatino Linotype" w:cs="Courier New"/>
          <w:color w:val="auto"/>
          <w:lang w:val="en-IN" w:eastAsia="en-IN" w:bidi="hi-IN"/>
        </w:rPr>
        <w:t xml:space="preserve"> Formats for nomination and for opting out of nomination (declaration form) were provided. These formats would also be applicable for any subsequent change/withdrawal of nomination.</w:t>
      </w:r>
    </w:p>
    <w:p w:rsidR="008D1E7F" w:rsidRPr="009B3DCF" w:rsidRDefault="008D1E7F" w:rsidP="008D1E7F">
      <w:pPr>
        <w:pStyle w:val="Default"/>
        <w:jc w:val="both"/>
        <w:rPr>
          <w:rFonts w:ascii="Palatino Linotype" w:hAnsi="Palatino Linotype" w:cs="Courier New"/>
          <w:color w:val="auto"/>
          <w:lang w:val="en-IN" w:eastAsia="en-IN" w:bidi="hi-IN"/>
        </w:rPr>
      </w:pP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In this regard, </w:t>
      </w:r>
      <w:r w:rsidR="00F97E86" w:rsidRPr="009B3DCF">
        <w:rPr>
          <w:rFonts w:ascii="Palatino Linotype" w:hAnsi="Palatino Linotype" w:cs="Courier New"/>
          <w:color w:val="auto"/>
          <w:lang w:val="en-IN" w:eastAsia="en-IN" w:bidi="hi-IN"/>
        </w:rPr>
        <w:t xml:space="preserve">trading members and depository participants </w:t>
      </w:r>
      <w:r w:rsidRPr="009B3DCF">
        <w:rPr>
          <w:rFonts w:ascii="Palatino Linotype" w:hAnsi="Palatino Linotype" w:cs="Courier New"/>
          <w:color w:val="auto"/>
          <w:lang w:val="en-IN" w:eastAsia="en-IN" w:bidi="hi-IN"/>
        </w:rPr>
        <w:t xml:space="preserve">were advised to activate new </w:t>
      </w:r>
      <w:r w:rsidR="00F97E86">
        <w:rPr>
          <w:rFonts w:ascii="Palatino Linotype" w:hAnsi="Palatino Linotype" w:cs="Courier New"/>
          <w:color w:val="auto"/>
          <w:lang w:val="en-IN" w:eastAsia="en-IN" w:bidi="hi-IN"/>
        </w:rPr>
        <w:t>t</w:t>
      </w:r>
      <w:r w:rsidR="00F97E86" w:rsidRPr="009B3DCF">
        <w:rPr>
          <w:rFonts w:ascii="Palatino Linotype" w:hAnsi="Palatino Linotype" w:cs="Courier New"/>
          <w:color w:val="auto"/>
          <w:lang w:val="en-IN" w:eastAsia="en-IN" w:bidi="hi-IN"/>
        </w:rPr>
        <w:t xml:space="preserve">rading </w:t>
      </w:r>
      <w:r w:rsidRPr="009B3DCF">
        <w:rPr>
          <w:rFonts w:ascii="Palatino Linotype" w:hAnsi="Palatino Linotype" w:cs="Courier New"/>
          <w:color w:val="auto"/>
          <w:lang w:val="en-IN" w:eastAsia="en-IN" w:bidi="hi-IN"/>
        </w:rPr>
        <w:t xml:space="preserve">and </w:t>
      </w:r>
      <w:r w:rsidR="00F97E86">
        <w:rPr>
          <w:rFonts w:ascii="Palatino Linotype" w:hAnsi="Palatino Linotype" w:cs="Courier New"/>
          <w:color w:val="auto"/>
          <w:lang w:val="en-IN" w:eastAsia="en-IN" w:bidi="hi-IN"/>
        </w:rPr>
        <w:t>d</w:t>
      </w:r>
      <w:r w:rsidR="00F97E86" w:rsidRPr="009B3DCF">
        <w:rPr>
          <w:rFonts w:ascii="Palatino Linotype" w:hAnsi="Palatino Linotype" w:cs="Courier New"/>
          <w:color w:val="auto"/>
          <w:lang w:val="en-IN" w:eastAsia="en-IN" w:bidi="hi-IN"/>
        </w:rPr>
        <w:t xml:space="preserve">emat </w:t>
      </w:r>
      <w:r w:rsidRPr="009B3DCF">
        <w:rPr>
          <w:rFonts w:ascii="Palatino Linotype" w:hAnsi="Palatino Linotype" w:cs="Courier New"/>
          <w:color w:val="auto"/>
          <w:lang w:val="en-IN" w:eastAsia="en-IN" w:bidi="hi-IN"/>
        </w:rPr>
        <w:t xml:space="preserve">accounts from October 01, 2021, only upon receipt of above formats. </w:t>
      </w:r>
    </w:p>
    <w:p w:rsidR="008D1E7F" w:rsidRPr="009B3DCF" w:rsidRDefault="008D1E7F" w:rsidP="008D1E7F">
      <w:pPr>
        <w:pStyle w:val="Default"/>
        <w:rPr>
          <w:rFonts w:ascii="Palatino Linotype" w:hAnsi="Palatino Linotype"/>
          <w:sz w:val="23"/>
          <w:szCs w:val="23"/>
        </w:rPr>
      </w:pPr>
    </w:p>
    <w:p w:rsidR="008D1E7F" w:rsidRPr="009B3DCF" w:rsidRDefault="008D1E7F" w:rsidP="008D1E7F">
      <w:pPr>
        <w:pStyle w:val="Default"/>
        <w:rPr>
          <w:rFonts w:ascii="Palatino Linotype" w:hAnsi="Palatino Linotype" w:cs="Mangal"/>
          <w:color w:val="auto"/>
          <w:lang w:val="en-IN" w:bidi="hi-IN"/>
        </w:rPr>
      </w:pPr>
      <w:r w:rsidRPr="009B3DCF">
        <w:rPr>
          <w:rFonts w:ascii="Palatino Linotype" w:hAnsi="Palatino Linotype" w:cs="Mangal"/>
          <w:color w:val="auto"/>
          <w:lang w:val="en-IN" w:bidi="hi-IN"/>
        </w:rPr>
        <w:t xml:space="preserve">Source:  </w:t>
      </w:r>
      <w:r w:rsidRPr="009B3DCF">
        <w:rPr>
          <w:rFonts w:ascii="Palatino Linotype" w:hAnsi="Palatino Linotype"/>
        </w:rPr>
        <w:t>S</w:t>
      </w:r>
      <w:r w:rsidRPr="009B3DCF">
        <w:rPr>
          <w:rFonts w:ascii="Palatino Linotype" w:hAnsi="Palatino Linotype"/>
          <w:sz w:val="23"/>
          <w:szCs w:val="23"/>
        </w:rPr>
        <w:t xml:space="preserve">EBI/HO/MIRSD/RTAMB/CIR/P/2021/601 </w:t>
      </w:r>
      <w:r w:rsidRPr="009B3DCF">
        <w:rPr>
          <w:rFonts w:ascii="Palatino Linotype" w:hAnsi="Palatino Linotype" w:cs="Mangal"/>
          <w:color w:val="auto"/>
          <w:lang w:val="en-IN" w:bidi="hi-IN"/>
        </w:rPr>
        <w:t>dated July 23, 2021</w:t>
      </w:r>
    </w:p>
    <w:p w:rsidR="008D1E7F" w:rsidRPr="009B3DCF" w:rsidRDefault="008D1E7F" w:rsidP="008D1E7F">
      <w:pPr>
        <w:pStyle w:val="Default"/>
        <w:rPr>
          <w:rFonts w:ascii="Palatino Linotype" w:hAnsi="Palatino Linotype" w:cs="Mangal"/>
          <w:color w:val="auto"/>
          <w:lang w:val="en-IN" w:bidi="hi-IN"/>
        </w:rPr>
      </w:pPr>
    </w:p>
    <w:p w:rsidR="008D1E7F" w:rsidRPr="009B3DCF" w:rsidRDefault="008D1E7F" w:rsidP="008D1E7F">
      <w:pPr>
        <w:pStyle w:val="Default"/>
        <w:jc w:val="both"/>
        <w:rPr>
          <w:rFonts w:ascii="Palatino Linotype" w:hAnsi="Palatino Linotype" w:cs="Courier New"/>
          <w:b/>
          <w:bCs/>
          <w:color w:val="auto"/>
          <w:lang w:val="en-IN" w:eastAsia="en-IN" w:bidi="hi-IN"/>
        </w:rPr>
      </w:pPr>
      <w:r w:rsidRPr="008D1E7F">
        <w:rPr>
          <w:rFonts w:ascii="Palatino Linotype" w:hAnsi="Palatino Linotype" w:cs="Mangal"/>
          <w:b/>
          <w:bCs/>
          <w:color w:val="auto"/>
          <w:lang w:val="en-IN" w:bidi="hi-IN"/>
        </w:rPr>
        <w:t>14.</w:t>
      </w:r>
      <w:r w:rsidRPr="009B3DCF">
        <w:rPr>
          <w:rFonts w:ascii="Palatino Linotype" w:hAnsi="Palatino Linotype" w:cs="Mangal"/>
          <w:color w:val="auto"/>
          <w:lang w:val="en-IN" w:bidi="hi-IN"/>
        </w:rPr>
        <w:t xml:space="preserve"> </w:t>
      </w:r>
      <w:r w:rsidRPr="009B3DCF">
        <w:rPr>
          <w:rFonts w:ascii="Palatino Linotype" w:hAnsi="Palatino Linotype" w:cs="Courier New"/>
          <w:b/>
          <w:bCs/>
          <w:color w:val="auto"/>
          <w:lang w:val="en-IN" w:eastAsia="en-IN" w:bidi="hi-IN"/>
        </w:rPr>
        <w:t>Extension of Time for Holding the Annual General Meeting by Top 100 Listed Entities by Market Capitalization</w:t>
      </w:r>
    </w:p>
    <w:p w:rsidR="008D1E7F" w:rsidRPr="009B3DCF" w:rsidRDefault="008D1E7F" w:rsidP="008D1E7F">
      <w:pPr>
        <w:pStyle w:val="Default"/>
        <w:rPr>
          <w:rFonts w:ascii="Palatino Linotype" w:hAnsi="Palatino Linotype"/>
        </w:rPr>
      </w:pPr>
      <w:r w:rsidRPr="009B3DCF">
        <w:rPr>
          <w:rFonts w:ascii="Palatino Linotype" w:hAnsi="Palatino Linotype"/>
        </w:rPr>
        <w:t xml:space="preserve">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Regulation 44(5) of the SEBI (Listing Obligations and Disclosure Requirements) Regulations 2015 requires top 100 listed entities by market capitalization to hold their AGM within a period of five months from the date of closing of the financial year.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 </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After consideration of representations received from listed entities and the </w:t>
      </w:r>
      <w:r w:rsidR="00F97E86">
        <w:rPr>
          <w:rFonts w:ascii="Palatino Linotype" w:hAnsi="Palatino Linotype" w:cs="Courier New"/>
          <w:color w:val="auto"/>
          <w:lang w:val="en-IN" w:eastAsia="en-IN" w:bidi="hi-IN"/>
        </w:rPr>
        <w:t>ICSI</w:t>
      </w:r>
      <w:r w:rsidRPr="009B3DCF">
        <w:rPr>
          <w:rFonts w:ascii="Palatino Linotype" w:hAnsi="Palatino Linotype" w:cs="Courier New"/>
          <w:color w:val="auto"/>
          <w:lang w:val="en-IN" w:eastAsia="en-IN" w:bidi="hi-IN"/>
        </w:rPr>
        <w:t xml:space="preserve">, timeline for conduct of AGM by top-100 listed entities by market capitalization was extended. Accordingly, such entities shall hold their AGM within a period of six months from the date of closing of the financial year for 2020-21. </w:t>
      </w:r>
    </w:p>
    <w:p w:rsidR="008D1E7F" w:rsidRPr="009B3DCF" w:rsidRDefault="008D1E7F" w:rsidP="008D1E7F">
      <w:pPr>
        <w:pStyle w:val="Default"/>
        <w:rPr>
          <w:rFonts w:ascii="Palatino Linotype" w:hAnsi="Palatino Linotype"/>
          <w:sz w:val="22"/>
          <w:szCs w:val="22"/>
        </w:rPr>
      </w:pPr>
    </w:p>
    <w:p w:rsidR="008D1E7F" w:rsidRPr="009B3DCF" w:rsidRDefault="008D1E7F" w:rsidP="008D1E7F">
      <w:pPr>
        <w:pStyle w:val="Default"/>
        <w:rPr>
          <w:rFonts w:ascii="Palatino Linotype" w:hAnsi="Palatino Linotype"/>
          <w:sz w:val="23"/>
          <w:szCs w:val="23"/>
        </w:rPr>
      </w:pPr>
      <w:r w:rsidRPr="009B3DCF">
        <w:rPr>
          <w:rFonts w:ascii="Palatino Linotype" w:hAnsi="Palatino Linotype"/>
          <w:sz w:val="23"/>
          <w:szCs w:val="23"/>
        </w:rPr>
        <w:t>Source:  SEBI/HO/CFD/CMD1/P/CIR/2021/602 dated July 23, 2021</w:t>
      </w:r>
    </w:p>
    <w:p w:rsidR="008D1E7F" w:rsidRPr="009B3DCF" w:rsidRDefault="008D1E7F" w:rsidP="008D1E7F">
      <w:pPr>
        <w:pStyle w:val="Default"/>
        <w:rPr>
          <w:rFonts w:ascii="Palatino Linotype" w:hAnsi="Palatino Linotype"/>
          <w:sz w:val="23"/>
          <w:szCs w:val="23"/>
        </w:rPr>
      </w:pPr>
    </w:p>
    <w:p w:rsidR="008D1E7F" w:rsidRPr="009B3DCF" w:rsidRDefault="008D1E7F" w:rsidP="008D1E7F">
      <w:pPr>
        <w:pStyle w:val="Default"/>
        <w:rPr>
          <w:rFonts w:ascii="Palatino Linotype" w:hAnsi="Palatino Linotype"/>
          <w:sz w:val="23"/>
          <w:szCs w:val="23"/>
        </w:rPr>
      </w:pPr>
    </w:p>
    <w:p w:rsidR="008D1E7F" w:rsidRPr="009B3DCF" w:rsidRDefault="008D1E7F" w:rsidP="008D1E7F">
      <w:pPr>
        <w:autoSpaceDE w:val="0"/>
        <w:autoSpaceDN w:val="0"/>
        <w:adjustRightInd w:val="0"/>
        <w:rPr>
          <w:rFonts w:ascii="Palatino Linotype" w:hAnsi="Palatino Linotype" w:cs="Courier New"/>
          <w:b/>
          <w:bCs/>
          <w:lang w:val="en-IN" w:eastAsia="en-IN" w:bidi="hi-IN"/>
        </w:rPr>
      </w:pPr>
      <w:r w:rsidRPr="008D1E7F">
        <w:rPr>
          <w:rFonts w:ascii="Palatino Linotype" w:hAnsi="Palatino Linotype"/>
          <w:b/>
          <w:bCs/>
          <w:sz w:val="23"/>
          <w:szCs w:val="23"/>
        </w:rPr>
        <w:t>15.</w:t>
      </w:r>
      <w:r w:rsidRPr="009B3DCF">
        <w:rPr>
          <w:rFonts w:ascii="Palatino Linotype" w:hAnsi="Palatino Linotype"/>
          <w:sz w:val="23"/>
          <w:szCs w:val="23"/>
        </w:rPr>
        <w:t xml:space="preserve"> </w:t>
      </w:r>
      <w:r w:rsidRPr="009B3DCF">
        <w:rPr>
          <w:rFonts w:ascii="Palatino Linotype" w:hAnsi="Palatino Linotype" w:cs="Courier New"/>
          <w:b/>
          <w:bCs/>
          <w:lang w:val="en-IN" w:eastAsia="en-IN" w:bidi="hi-IN"/>
        </w:rPr>
        <w:t>Timelines related to Processing of Scheme Related Applications filed by AMCs</w:t>
      </w:r>
    </w:p>
    <w:p w:rsidR="008D1E7F" w:rsidRPr="009B3DCF" w:rsidRDefault="008D1E7F" w:rsidP="008D1E7F">
      <w:pPr>
        <w:autoSpaceDE w:val="0"/>
        <w:autoSpaceDN w:val="0"/>
        <w:adjustRightInd w:val="0"/>
        <w:rPr>
          <w:rFonts w:ascii="Palatino Linotype" w:hAnsi="Palatino Linotype" w:cs="Courier New"/>
          <w:b/>
          <w:bCs/>
          <w:lang w:val="en-IN" w:eastAsia="en-IN" w:bidi="hi-IN"/>
        </w:rPr>
      </w:pPr>
    </w:p>
    <w:p w:rsidR="008D1E7F" w:rsidRPr="009B3DCF" w:rsidRDefault="008D1E7F" w:rsidP="008D1E7F">
      <w:pPr>
        <w:autoSpaceDE w:val="0"/>
        <w:autoSpaceDN w:val="0"/>
        <w:adjustRightInd w:val="0"/>
        <w:jc w:val="both"/>
        <w:rPr>
          <w:rFonts w:ascii="Palatino Linotype" w:hAnsi="Palatino Linotype" w:cs="Courier New"/>
          <w:lang w:val="en-IN" w:eastAsia="en-IN" w:bidi="hi-IN"/>
        </w:rPr>
      </w:pPr>
      <w:r w:rsidRPr="009B3DCF">
        <w:rPr>
          <w:rFonts w:ascii="Palatino Linotype" w:hAnsi="Palatino Linotype" w:cs="Courier New"/>
          <w:lang w:val="en-IN" w:eastAsia="en-IN" w:bidi="hi-IN"/>
        </w:rPr>
        <w:t xml:space="preserve">In order to promote ease of doing business and bring uniformity in the timelines for processing of scheme related applications filed by AMCs, it has been decided that the application filed by </w:t>
      </w:r>
      <w:r w:rsidRPr="009B3DCF">
        <w:rPr>
          <w:rFonts w:ascii="Palatino Linotype" w:hAnsi="Palatino Linotype" w:cs="Courier New"/>
          <w:lang w:val="en-IN" w:eastAsia="en-IN" w:bidi="hi-IN"/>
        </w:rPr>
        <w:lastRenderedPageBreak/>
        <w:t xml:space="preserve">AMCs for change in the fundamental attributes of a scheme, merger/consolidation of schemes, rollover of close-ended schemes and conversion of close-ended schemes to open-ended schemes may be deemed to be taken on record in case no modifications are suggested or no queries are raised by SEBI within 21 working days. </w:t>
      </w:r>
    </w:p>
    <w:p w:rsidR="008D1E7F" w:rsidRPr="009B3DCF" w:rsidRDefault="008D1E7F" w:rsidP="008D1E7F">
      <w:pPr>
        <w:autoSpaceDE w:val="0"/>
        <w:autoSpaceDN w:val="0"/>
        <w:adjustRightInd w:val="0"/>
        <w:jc w:val="both"/>
        <w:rPr>
          <w:rFonts w:ascii="Palatino Linotype" w:hAnsi="Palatino Linotype" w:cs="Courier New"/>
          <w:lang w:val="en-IN" w:eastAsia="en-IN" w:bidi="hi-IN"/>
        </w:rPr>
      </w:pPr>
    </w:p>
    <w:p w:rsidR="008D1E7F" w:rsidRPr="009B3DCF" w:rsidRDefault="008D1E7F" w:rsidP="008D1E7F">
      <w:pPr>
        <w:autoSpaceDE w:val="0"/>
        <w:autoSpaceDN w:val="0"/>
        <w:adjustRightInd w:val="0"/>
        <w:jc w:val="both"/>
        <w:rPr>
          <w:rFonts w:ascii="Palatino Linotype" w:hAnsi="Palatino Linotype" w:cs="Courier New"/>
          <w:lang w:val="en-IN" w:eastAsia="en-IN" w:bidi="hi-IN"/>
        </w:rPr>
      </w:pPr>
      <w:r w:rsidRPr="009B3DCF">
        <w:rPr>
          <w:rFonts w:ascii="Palatino Linotype" w:hAnsi="Palatino Linotype" w:cs="Courier New"/>
          <w:lang w:val="en-IN" w:eastAsia="en-IN" w:bidi="hi-IN"/>
        </w:rPr>
        <w:t>In respect of applications filed by AMCs under Regulation 24 (b) of SEBI (Mutual Funds) Regulations, 1996, no objection will have been deemed to be communicated in case no modifications are suggested or no queries are raised by SEBI within 21 working days.</w:t>
      </w:r>
    </w:p>
    <w:p w:rsidR="008D1E7F" w:rsidRPr="009B3DCF" w:rsidRDefault="008D1E7F" w:rsidP="008D1E7F">
      <w:pPr>
        <w:pStyle w:val="Default"/>
        <w:jc w:val="both"/>
        <w:rPr>
          <w:rFonts w:ascii="Palatino Linotype" w:hAnsi="Palatino Linotype"/>
        </w:rPr>
      </w:pPr>
    </w:p>
    <w:p w:rsidR="008D1E7F" w:rsidRPr="009B3DCF" w:rsidRDefault="008D1E7F" w:rsidP="008D1E7F">
      <w:pPr>
        <w:spacing w:after="120"/>
        <w:rPr>
          <w:rFonts w:ascii="Palatino Linotype" w:hAnsi="Palatino Linotype" w:cs="Arial"/>
          <w:color w:val="000000"/>
          <w:sz w:val="23"/>
          <w:szCs w:val="23"/>
        </w:rPr>
      </w:pPr>
      <w:r w:rsidRPr="009B3DCF">
        <w:rPr>
          <w:rFonts w:ascii="Palatino Linotype" w:hAnsi="Palatino Linotype" w:cs="Arial"/>
          <w:color w:val="000000"/>
          <w:sz w:val="23"/>
          <w:szCs w:val="23"/>
        </w:rPr>
        <w:t>Source</w:t>
      </w:r>
      <w:r>
        <w:rPr>
          <w:rFonts w:ascii="Palatino Linotype" w:hAnsi="Palatino Linotype" w:cs="Arial"/>
          <w:color w:val="000000"/>
          <w:sz w:val="23"/>
          <w:szCs w:val="23"/>
        </w:rPr>
        <w:t>:</w:t>
      </w:r>
      <w:r w:rsidRPr="009B3DCF">
        <w:rPr>
          <w:rFonts w:ascii="Palatino Linotype" w:hAnsi="Palatino Linotype" w:cs="CIDFont+F3"/>
          <w:lang w:val="en-IN" w:eastAsia="en-IN" w:bidi="hi-IN"/>
        </w:rPr>
        <w:t xml:space="preserve"> SEBI/HO/IMD/IMD-II DOF3/P/CIR/2021/603 </w:t>
      </w:r>
      <w:r w:rsidRPr="009B3DCF">
        <w:rPr>
          <w:rFonts w:ascii="Palatino Linotype" w:hAnsi="Palatino Linotype" w:cs="Arial"/>
          <w:color w:val="000000"/>
          <w:sz w:val="23"/>
          <w:szCs w:val="23"/>
        </w:rPr>
        <w:t>dated July 2</w:t>
      </w:r>
      <w:r w:rsidRPr="009B3DCF">
        <w:rPr>
          <w:rFonts w:ascii="Palatino Linotype" w:hAnsi="Palatino Linotype"/>
          <w:sz w:val="23"/>
          <w:szCs w:val="23"/>
        </w:rPr>
        <w:t>3</w:t>
      </w:r>
      <w:r w:rsidRPr="009B3DCF">
        <w:rPr>
          <w:rFonts w:ascii="Palatino Linotype" w:hAnsi="Palatino Linotype" w:cs="Arial"/>
          <w:color w:val="000000"/>
          <w:sz w:val="23"/>
          <w:szCs w:val="23"/>
        </w:rPr>
        <w:t>, 2021</w:t>
      </w:r>
    </w:p>
    <w:p w:rsidR="008D1E7F" w:rsidRDefault="008D1E7F" w:rsidP="008D1E7F">
      <w:pPr>
        <w:jc w:val="center"/>
        <w:rPr>
          <w:rFonts w:ascii="Palatino Linotype" w:hAnsi="Palatino Linotype"/>
          <w:b/>
          <w:sz w:val="28"/>
          <w:szCs w:val="36"/>
          <w:u w:val="single"/>
        </w:rPr>
      </w:pPr>
    </w:p>
    <w:p w:rsidR="008D1E7F" w:rsidRPr="009B3DCF" w:rsidRDefault="008D1E7F" w:rsidP="008D1E7F">
      <w:pPr>
        <w:autoSpaceDE w:val="0"/>
        <w:autoSpaceDN w:val="0"/>
        <w:adjustRightInd w:val="0"/>
        <w:spacing w:after="160" w:line="259" w:lineRule="auto"/>
        <w:contextualSpacing/>
        <w:jc w:val="both"/>
        <w:rPr>
          <w:rFonts w:ascii="Palatino Linotype" w:eastAsia="Calibri" w:hAnsi="Palatino Linotype" w:cs="CIDFont+F3"/>
          <w:b/>
          <w:bCs/>
          <w:lang w:val="en-IN" w:bidi="hi-IN"/>
        </w:rPr>
      </w:pPr>
      <w:r w:rsidRPr="00E11877">
        <w:rPr>
          <w:rFonts w:ascii="Palatino Linotype" w:eastAsia="Calibri" w:hAnsi="Palatino Linotype" w:cs="CIDFont+F3"/>
          <w:b/>
          <w:bCs/>
          <w:lang w:val="en-IN" w:bidi="hi-IN"/>
        </w:rPr>
        <w:t>1</w:t>
      </w:r>
      <w:r>
        <w:rPr>
          <w:rFonts w:ascii="Palatino Linotype" w:eastAsia="Calibri" w:hAnsi="Palatino Linotype" w:cs="CIDFont+F3"/>
          <w:b/>
          <w:bCs/>
          <w:lang w:val="en-IN" w:bidi="hi-IN"/>
        </w:rPr>
        <w:t>6</w:t>
      </w:r>
      <w:r w:rsidRPr="00E11877">
        <w:rPr>
          <w:rFonts w:ascii="Palatino Linotype" w:eastAsia="Calibri" w:hAnsi="Palatino Linotype" w:cs="CIDFont+F3"/>
          <w:b/>
          <w:bCs/>
          <w:lang w:val="en-IN" w:bidi="hi-IN"/>
        </w:rPr>
        <w:t>.</w:t>
      </w:r>
      <w:r w:rsidRPr="00E11877">
        <w:rPr>
          <w:rFonts w:ascii="Palatino Linotype" w:eastAsia="Calibri" w:hAnsi="Palatino Linotype" w:cs="CIDFont+F3"/>
          <w:b/>
          <w:bCs/>
          <w:lang w:val="en-IN" w:bidi="hi-IN"/>
        </w:rPr>
        <w:tab/>
        <w:t xml:space="preserve">RTA inter-operable </w:t>
      </w:r>
      <w:r w:rsidR="00F97E86">
        <w:rPr>
          <w:rFonts w:ascii="Palatino Linotype" w:eastAsia="Calibri" w:hAnsi="Palatino Linotype" w:cs="CIDFont+F3"/>
          <w:b/>
          <w:bCs/>
          <w:lang w:val="en-IN" w:bidi="hi-IN"/>
        </w:rPr>
        <w:t>p</w:t>
      </w:r>
      <w:r w:rsidR="00F97E86" w:rsidRPr="00E11877">
        <w:rPr>
          <w:rFonts w:ascii="Palatino Linotype" w:eastAsia="Calibri" w:hAnsi="Palatino Linotype" w:cs="CIDFont+F3"/>
          <w:b/>
          <w:bCs/>
          <w:lang w:val="en-IN" w:bidi="hi-IN"/>
        </w:rPr>
        <w:t xml:space="preserve">latform </w:t>
      </w:r>
      <w:r w:rsidRPr="00E11877">
        <w:rPr>
          <w:rFonts w:ascii="Palatino Linotype" w:eastAsia="Calibri" w:hAnsi="Palatino Linotype" w:cs="CIDFont+F3"/>
          <w:b/>
          <w:bCs/>
          <w:lang w:val="en-IN" w:bidi="hi-IN"/>
        </w:rPr>
        <w:t>for enhancing investors’ experience in Mutual Fund transactions/ service requests</w:t>
      </w:r>
    </w:p>
    <w:p w:rsidR="008D1E7F" w:rsidRPr="009B3DCF" w:rsidRDefault="008D1E7F" w:rsidP="008D1E7F">
      <w:pPr>
        <w:spacing w:after="160" w:line="259" w:lineRule="auto"/>
        <w:contextualSpacing/>
        <w:jc w:val="both"/>
        <w:rPr>
          <w:rFonts w:ascii="Palatino Linotype" w:hAnsi="Palatino Linotype" w:cs="Courier New"/>
          <w:b/>
          <w:bCs/>
          <w:lang w:val="en-IN" w:eastAsia="en-IN" w:bidi="hi-IN"/>
        </w:rPr>
      </w:pPr>
      <w:r w:rsidRPr="009B3DCF">
        <w:rPr>
          <w:rFonts w:ascii="Palatino Linotype" w:hAnsi="Palatino Linotype" w:cs="Courier New"/>
          <w:b/>
          <w:bCs/>
          <w:lang w:val="en-IN" w:eastAsia="en-IN" w:bidi="hi-IN"/>
        </w:rPr>
        <w:t xml:space="preserve"> </w:t>
      </w:r>
    </w:p>
    <w:p w:rsidR="008D1E7F" w:rsidRPr="00E11877" w:rsidRDefault="008D1E7F" w:rsidP="008D1E7F">
      <w:pPr>
        <w:spacing w:after="160" w:line="259" w:lineRule="auto"/>
        <w:jc w:val="both"/>
        <w:rPr>
          <w:rFonts w:ascii="Palatino Linotype" w:eastAsia="Calibri" w:hAnsi="Palatino Linotype" w:cs="Mangal"/>
          <w:shd w:val="clear" w:color="auto" w:fill="FFFFFF"/>
          <w:lang w:bidi="hi-IN"/>
        </w:rPr>
      </w:pPr>
      <w:r w:rsidRPr="00E11877">
        <w:rPr>
          <w:rFonts w:ascii="Palatino Linotype" w:eastAsia="Calibri" w:hAnsi="Palatino Linotype" w:cs="Mangal"/>
          <w:shd w:val="clear" w:color="auto" w:fill="FFFFFF"/>
          <w:lang w:bidi="hi-IN"/>
        </w:rPr>
        <w:t xml:space="preserve">In order to make it more convenient to the existing and future investors to transact and avail services while invested in </w:t>
      </w:r>
      <w:r w:rsidR="00F97E86" w:rsidRPr="00E11877">
        <w:rPr>
          <w:rFonts w:ascii="Palatino Linotype" w:eastAsia="Calibri" w:hAnsi="Palatino Linotype" w:cs="Mangal"/>
          <w:shd w:val="clear" w:color="auto" w:fill="FFFFFF"/>
          <w:lang w:bidi="hi-IN"/>
        </w:rPr>
        <w:t>mutual fund</w:t>
      </w:r>
      <w:r w:rsidRPr="00E11877">
        <w:rPr>
          <w:rFonts w:ascii="Palatino Linotype" w:eastAsia="Calibri" w:hAnsi="Palatino Linotype" w:cs="Mangal"/>
          <w:shd w:val="clear" w:color="auto" w:fill="FFFFFF"/>
          <w:lang w:bidi="hi-IN"/>
        </w:rPr>
        <w:t xml:space="preserve">, it has been decided that RTAs shall implement  standardized  practices, system  interoperability  amongst themselves  to jointly  develop  a  common  industry  wide  platform  that  will  deliver an  integrated,  harmonized,  elevated  experience  to  the  investors  across  the industry. AMCs and </w:t>
      </w:r>
      <w:r w:rsidR="00991555">
        <w:rPr>
          <w:rFonts w:ascii="Palatino Linotype" w:eastAsia="Calibri" w:hAnsi="Palatino Linotype" w:cs="Mangal"/>
          <w:shd w:val="clear" w:color="auto" w:fill="FFFFFF"/>
          <w:lang w:bidi="hi-IN"/>
        </w:rPr>
        <w:t>d</w:t>
      </w:r>
      <w:r w:rsidR="00991555" w:rsidRPr="00E11877">
        <w:rPr>
          <w:rFonts w:ascii="Palatino Linotype" w:eastAsia="Calibri" w:hAnsi="Palatino Linotype" w:cs="Mangal"/>
          <w:shd w:val="clear" w:color="auto" w:fill="FFFFFF"/>
          <w:lang w:bidi="hi-IN"/>
        </w:rPr>
        <w:t xml:space="preserve">epositories </w:t>
      </w:r>
      <w:r w:rsidRPr="00E11877">
        <w:rPr>
          <w:rFonts w:ascii="Palatino Linotype" w:eastAsia="Calibri" w:hAnsi="Palatino Linotype" w:cs="Mangal"/>
          <w:shd w:val="clear" w:color="auto" w:fill="FFFFFF"/>
          <w:lang w:bidi="hi-IN"/>
        </w:rPr>
        <w:t>shall facilitate the RTAs for development of the proposed platform.</w:t>
      </w:r>
    </w:p>
    <w:p w:rsidR="008D1E7F" w:rsidRPr="00E11877" w:rsidRDefault="008D1E7F" w:rsidP="008D1E7F">
      <w:pPr>
        <w:spacing w:after="160" w:line="259" w:lineRule="auto"/>
        <w:jc w:val="both"/>
        <w:rPr>
          <w:rFonts w:ascii="Palatino Linotype" w:eastAsia="Calibri" w:hAnsi="Palatino Linotype" w:cs="Mangal"/>
          <w:shd w:val="clear" w:color="auto" w:fill="FFFFFF"/>
          <w:lang w:bidi="hi-IN"/>
        </w:rPr>
      </w:pPr>
      <w:r w:rsidRPr="00E11877">
        <w:rPr>
          <w:rFonts w:ascii="Palatino Linotype" w:eastAsia="Calibri" w:hAnsi="Palatino Linotype" w:cs="Mangal"/>
          <w:shd w:val="clear" w:color="auto" w:fill="FFFFFF"/>
          <w:lang w:bidi="hi-IN"/>
        </w:rPr>
        <w:t xml:space="preserve">The aforesaid platform shall, </w:t>
      </w:r>
      <w:r w:rsidRPr="00E11877">
        <w:rPr>
          <w:rFonts w:ascii="Palatino Linotype" w:eastAsia="Calibri" w:hAnsi="Palatino Linotype" w:cs="Mangal"/>
          <w:i/>
          <w:iCs/>
          <w:shd w:val="clear" w:color="auto" w:fill="FFFFFF"/>
          <w:lang w:bidi="hi-IN"/>
        </w:rPr>
        <w:t>inter alia</w:t>
      </w:r>
      <w:r w:rsidRPr="00E11877">
        <w:rPr>
          <w:rFonts w:ascii="Palatino Linotype" w:eastAsia="Calibri" w:hAnsi="Palatino Linotype" w:cs="Mangal"/>
          <w:shd w:val="clear" w:color="auto" w:fill="FFFFFF"/>
          <w:lang w:bidi="hi-IN"/>
        </w:rPr>
        <w:t xml:space="preserve"> in phases, enable a user-friendly interface for investors for execution of mutual fund transactions. The platform may also over time, provide services to the distributors, registered investment advisors, AMCs, </w:t>
      </w:r>
      <w:r w:rsidR="00991555" w:rsidRPr="00E11877">
        <w:rPr>
          <w:rFonts w:ascii="Palatino Linotype" w:eastAsia="Calibri" w:hAnsi="Palatino Linotype" w:cs="Mangal"/>
          <w:shd w:val="clear" w:color="auto" w:fill="FFFFFF"/>
          <w:lang w:bidi="hi-IN"/>
        </w:rPr>
        <w:t xml:space="preserve">stock exchange </w:t>
      </w:r>
      <w:r w:rsidRPr="00E11877">
        <w:rPr>
          <w:rFonts w:ascii="Palatino Linotype" w:eastAsia="Calibri" w:hAnsi="Palatino Linotype" w:cs="Mangal"/>
          <w:shd w:val="clear" w:color="auto" w:fill="FFFFFF"/>
          <w:lang w:bidi="hi-IN"/>
        </w:rPr>
        <w:t>platforms and digital platforms or transacting in mutual funds to further augment ease of investing and servicing of investors through the above stake holders in consultation with SEBI.</w:t>
      </w:r>
    </w:p>
    <w:p w:rsidR="008D1E7F" w:rsidRPr="009B3DCF" w:rsidRDefault="008D1E7F" w:rsidP="008D1E7F">
      <w:pPr>
        <w:autoSpaceDE w:val="0"/>
        <w:autoSpaceDN w:val="0"/>
        <w:adjustRightInd w:val="0"/>
        <w:jc w:val="both"/>
        <w:rPr>
          <w:rFonts w:ascii="Palatino Linotype" w:eastAsia="Calibri" w:hAnsi="Palatino Linotype" w:cs="CIDFont+F5"/>
          <w:lang w:val="en-IN" w:bidi="hi-IN"/>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r w:rsidRPr="009B3DCF">
        <w:rPr>
          <w:rFonts w:ascii="Palatino Linotype" w:eastAsia="Calibri" w:hAnsi="Palatino Linotype" w:cs="CIDFont+F5"/>
          <w:lang w:val="en-IN" w:bidi="hi-IN"/>
        </w:rPr>
        <w:t>Source:</w:t>
      </w:r>
      <w:r w:rsidRPr="009B3DCF">
        <w:rPr>
          <w:rFonts w:ascii="Palatino Linotype" w:eastAsia="Calibri" w:hAnsi="Palatino Linotype" w:cs="Mangal"/>
          <w:lang w:val="en-IN" w:bidi="hi-IN"/>
        </w:rPr>
        <w:t xml:space="preserve"> </w:t>
      </w:r>
      <w:r w:rsidRPr="00E11877">
        <w:rPr>
          <w:rFonts w:ascii="Palatino Linotype" w:eastAsia="Calibri" w:hAnsi="Palatino Linotype" w:cs="Mangal"/>
          <w:lang w:val="en-IN" w:bidi="hi-IN"/>
        </w:rPr>
        <w:t xml:space="preserve">SEBI/HO/IMD/IMD-II DOF3/P/CIR/2021/604 </w:t>
      </w:r>
      <w:r w:rsidRPr="009B3DCF">
        <w:rPr>
          <w:rFonts w:ascii="Palatino Linotype" w:eastAsia="Calibri" w:hAnsi="Palatino Linotype" w:cs="Mangal"/>
          <w:lang w:val="en-IN" w:bidi="hi-IN"/>
        </w:rPr>
        <w:t>dated July 2</w:t>
      </w:r>
      <w:r>
        <w:rPr>
          <w:rFonts w:ascii="Palatino Linotype" w:eastAsia="Calibri" w:hAnsi="Palatino Linotype" w:cs="Mangal"/>
          <w:lang w:val="en-IN" w:bidi="hi-IN"/>
        </w:rPr>
        <w:t>6</w:t>
      </w:r>
      <w:r w:rsidRPr="009B3DCF">
        <w:rPr>
          <w:rFonts w:ascii="Palatino Linotype" w:eastAsia="Calibri" w:hAnsi="Palatino Linotype" w:cs="Mangal"/>
          <w:lang w:val="en-IN" w:bidi="hi-IN"/>
        </w:rPr>
        <w:t>, 2021</w:t>
      </w: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E11877" w:rsidRDefault="008D1E7F" w:rsidP="008D1E7F">
      <w:pPr>
        <w:autoSpaceDE w:val="0"/>
        <w:autoSpaceDN w:val="0"/>
        <w:adjustRightInd w:val="0"/>
        <w:rPr>
          <w:rFonts w:ascii="Palatino Linotype" w:eastAsia="Calibri" w:hAnsi="Palatino Linotype" w:cs="Calibri"/>
          <w:b/>
          <w:bCs/>
          <w:color w:val="000000"/>
          <w:lang w:val="en-IN" w:bidi="hi-IN"/>
        </w:rPr>
      </w:pPr>
      <w:r>
        <w:rPr>
          <w:rFonts w:ascii="Palatino Linotype" w:eastAsia="Calibri" w:hAnsi="Palatino Linotype" w:cs="Calibri"/>
          <w:b/>
          <w:bCs/>
          <w:color w:val="000000"/>
          <w:lang w:val="en-IN" w:bidi="hi-IN"/>
        </w:rPr>
        <w:t>17</w:t>
      </w:r>
      <w:r w:rsidRPr="00E11877">
        <w:rPr>
          <w:rFonts w:ascii="Palatino Linotype" w:eastAsia="Calibri" w:hAnsi="Palatino Linotype" w:cs="Calibri"/>
          <w:b/>
          <w:bCs/>
          <w:color w:val="000000"/>
          <w:lang w:val="en-IN" w:bidi="hi-IN"/>
        </w:rPr>
        <w:t>.</w:t>
      </w:r>
      <w:r w:rsidRPr="00E11877">
        <w:rPr>
          <w:rFonts w:ascii="Palatino Linotype" w:eastAsia="Calibri" w:hAnsi="Palatino Linotype" w:cs="Calibri"/>
          <w:b/>
          <w:bCs/>
          <w:color w:val="000000"/>
          <w:lang w:val="en-IN" w:bidi="hi-IN"/>
        </w:rPr>
        <w:tab/>
        <w:t xml:space="preserve">Relaxation in timelines for compliance with regulatory requirements  </w:t>
      </w:r>
    </w:p>
    <w:p w:rsidR="008D1E7F" w:rsidRPr="009B3DCF" w:rsidRDefault="008D1E7F" w:rsidP="008D1E7F">
      <w:pPr>
        <w:spacing w:after="160" w:line="259" w:lineRule="auto"/>
        <w:contextualSpacing/>
        <w:jc w:val="both"/>
        <w:rPr>
          <w:rFonts w:ascii="Palatino Linotype" w:hAnsi="Palatino Linotype" w:cs="Courier New"/>
          <w:lang w:val="en-IN" w:eastAsia="en-IN" w:bidi="hi-IN"/>
        </w:rPr>
      </w:pPr>
    </w:p>
    <w:p w:rsidR="008D1E7F" w:rsidRPr="00E11877" w:rsidRDefault="008D1E7F" w:rsidP="008D1E7F">
      <w:pPr>
        <w:spacing w:after="160" w:line="259" w:lineRule="auto"/>
        <w:jc w:val="both"/>
        <w:rPr>
          <w:rFonts w:ascii="Palatino Linotype" w:eastAsia="Calibri" w:hAnsi="Palatino Linotype" w:cs="Mangal"/>
          <w:lang w:bidi="hi-IN"/>
        </w:rPr>
      </w:pPr>
      <w:r w:rsidRPr="00E11877">
        <w:rPr>
          <w:rFonts w:ascii="Palatino Linotype" w:eastAsia="Calibri" w:hAnsi="Palatino Linotype" w:cs="Mangal"/>
          <w:lang w:bidi="hi-IN"/>
        </w:rPr>
        <w:t>SEBI has decided to extend the timelines for compliance with regulatory requirements by the trading members / clearing members / KYC Registration Agencies for various submission/compliances from July 31, 2021 to Sept 30, 2021. For some compliance</w:t>
      </w:r>
      <w:r w:rsidR="00991555">
        <w:rPr>
          <w:rFonts w:ascii="Palatino Linotype" w:eastAsia="Calibri" w:hAnsi="Palatino Linotype" w:cs="Mangal"/>
          <w:lang w:bidi="hi-IN"/>
        </w:rPr>
        <w:t>,</w:t>
      </w:r>
      <w:r w:rsidRPr="00E11877">
        <w:rPr>
          <w:rFonts w:ascii="Palatino Linotype" w:eastAsia="Calibri" w:hAnsi="Palatino Linotype" w:cs="Mangal"/>
          <w:lang w:bidi="hi-IN"/>
        </w:rPr>
        <w:t xml:space="preserve"> timeline has been extended to Dec 31, 2021.</w:t>
      </w:r>
    </w:p>
    <w:p w:rsidR="008D1E7F" w:rsidRPr="009B3DCF" w:rsidRDefault="008D1E7F" w:rsidP="008D1E7F">
      <w:pPr>
        <w:jc w:val="both"/>
        <w:rPr>
          <w:rFonts w:ascii="Palatino Linotype" w:hAnsi="Palatino Linotype"/>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r w:rsidRPr="009B3DCF">
        <w:rPr>
          <w:rFonts w:ascii="Palatino Linotype" w:eastAsia="Calibri" w:hAnsi="Palatino Linotype" w:cs="CIDFont+F5"/>
          <w:lang w:val="en-IN" w:bidi="hi-IN"/>
        </w:rPr>
        <w:t>Source:</w:t>
      </w:r>
      <w:r w:rsidRPr="009B3DCF">
        <w:rPr>
          <w:rFonts w:ascii="Palatino Linotype" w:eastAsia="Calibri" w:hAnsi="Palatino Linotype" w:cs="Mangal"/>
          <w:lang w:val="en-IN" w:bidi="hi-IN"/>
        </w:rPr>
        <w:t xml:space="preserve"> </w:t>
      </w:r>
      <w:r w:rsidRPr="00E11877">
        <w:rPr>
          <w:rFonts w:ascii="Palatino Linotype" w:eastAsia="Calibri" w:hAnsi="Palatino Linotype" w:cs="Mangal"/>
          <w:lang w:val="en-IN" w:bidi="hi-IN"/>
        </w:rPr>
        <w:t>SEBI/HO/MIRSD/DOP/P/CIR/2021/607</w:t>
      </w:r>
      <w:r w:rsidRPr="009B3DCF">
        <w:rPr>
          <w:rFonts w:ascii="Palatino Linotype" w:eastAsia="Calibri" w:hAnsi="Palatino Linotype" w:cs="Mangal"/>
          <w:lang w:val="en-IN" w:bidi="hi-IN"/>
        </w:rPr>
        <w:t xml:space="preserve"> dated July </w:t>
      </w:r>
      <w:r>
        <w:rPr>
          <w:rFonts w:ascii="Palatino Linotype" w:eastAsia="Calibri" w:hAnsi="Palatino Linotype" w:cs="Mangal"/>
          <w:lang w:val="en-IN" w:bidi="hi-IN"/>
        </w:rPr>
        <w:t>3</w:t>
      </w:r>
      <w:r w:rsidRPr="009B3DCF">
        <w:rPr>
          <w:rFonts w:ascii="Palatino Linotype" w:eastAsia="Calibri" w:hAnsi="Palatino Linotype" w:cs="Mangal"/>
          <w:lang w:val="en-IN" w:bidi="hi-IN"/>
        </w:rPr>
        <w:t>0, 2021</w:t>
      </w: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9B3DCF" w:rsidRDefault="008D1E7F" w:rsidP="008D1E7F">
      <w:pPr>
        <w:autoSpaceDE w:val="0"/>
        <w:autoSpaceDN w:val="0"/>
        <w:adjustRightInd w:val="0"/>
        <w:rPr>
          <w:rFonts w:ascii="Palatino Linotype" w:hAnsi="Palatino Linotype" w:cs="Courier New"/>
          <w:b/>
          <w:bCs/>
          <w:lang w:val="en-IN" w:eastAsia="en-IN" w:bidi="hi-IN"/>
        </w:rPr>
      </w:pPr>
      <w:r>
        <w:rPr>
          <w:rFonts w:ascii="Palatino Linotype" w:hAnsi="Palatino Linotype" w:cs="Courier New"/>
          <w:b/>
          <w:bCs/>
          <w:lang w:val="en-IN" w:eastAsia="en-IN" w:bidi="hi-IN"/>
        </w:rPr>
        <w:lastRenderedPageBreak/>
        <w:t>18</w:t>
      </w:r>
      <w:r w:rsidRPr="00E11877">
        <w:rPr>
          <w:rFonts w:ascii="Palatino Linotype" w:hAnsi="Palatino Linotype" w:cs="Courier New"/>
          <w:b/>
          <w:bCs/>
          <w:lang w:val="en-IN" w:eastAsia="en-IN" w:bidi="hi-IN"/>
        </w:rPr>
        <w:t>.</w:t>
      </w:r>
      <w:r w:rsidRPr="00E11877">
        <w:rPr>
          <w:rFonts w:ascii="Palatino Linotype" w:hAnsi="Palatino Linotype" w:cs="Courier New"/>
          <w:b/>
          <w:bCs/>
          <w:lang w:val="en-IN" w:eastAsia="en-IN" w:bidi="hi-IN"/>
        </w:rPr>
        <w:tab/>
        <w:t>Deployment of unclaimed  redemption  and  dividend  amounts  and Instant Access Facility in Overnight Funds</w:t>
      </w:r>
    </w:p>
    <w:p w:rsidR="008D1E7F" w:rsidRPr="009B3DCF" w:rsidRDefault="008D1E7F" w:rsidP="008D1E7F">
      <w:pPr>
        <w:autoSpaceDE w:val="0"/>
        <w:autoSpaceDN w:val="0"/>
        <w:adjustRightInd w:val="0"/>
        <w:rPr>
          <w:rFonts w:ascii="Palatino Linotype" w:hAnsi="Palatino Linotype" w:cs="Courier New"/>
          <w:b/>
          <w:bCs/>
          <w:lang w:val="en-IN" w:eastAsia="en-IN" w:bidi="hi-IN"/>
        </w:rPr>
      </w:pPr>
    </w:p>
    <w:p w:rsidR="008D1E7F" w:rsidRDefault="008D1E7F" w:rsidP="008D1E7F">
      <w:pPr>
        <w:pStyle w:val="Default"/>
        <w:jc w:val="both"/>
        <w:rPr>
          <w:rFonts w:ascii="Palatino Linotype" w:hAnsi="Palatino Linotype" w:cs="Courier New"/>
          <w:color w:val="auto"/>
          <w:lang w:val="en-IN" w:eastAsia="en-IN" w:bidi="hi-IN"/>
        </w:rPr>
      </w:pPr>
      <w:r w:rsidRPr="00E11877">
        <w:rPr>
          <w:rFonts w:ascii="Palatino Linotype" w:hAnsi="Palatino Linotype" w:cs="Courier New"/>
          <w:color w:val="auto"/>
          <w:lang w:val="en-IN" w:eastAsia="en-IN" w:bidi="hi-IN"/>
        </w:rPr>
        <w:t>SEBI has partially modified circular no. SEBI/HO/IMD/DF2/CIR/P/2016/37 dated February 25, 2016, and circular no. SEBI/HO/IMD/DF2/CIR/P/2017/39 dated May 8, 2017 with respect to provisions for deployment of unclaimed redemption and dividend amounts and instant access facility in Overnight Funds, respectively.</w:t>
      </w:r>
    </w:p>
    <w:p w:rsidR="008D1E7F" w:rsidRPr="009B3DCF" w:rsidRDefault="008D1E7F" w:rsidP="008D1E7F">
      <w:pPr>
        <w:pStyle w:val="Default"/>
        <w:jc w:val="both"/>
        <w:rPr>
          <w:rFonts w:ascii="Palatino Linotype" w:hAnsi="Palatino Linotype" w:cs="Courier New"/>
          <w:color w:val="auto"/>
          <w:lang w:val="en-IN" w:eastAsia="en-IN" w:bidi="hi-IN"/>
        </w:rPr>
      </w:pPr>
      <w:r w:rsidRPr="009B3DCF">
        <w:rPr>
          <w:rFonts w:ascii="Palatino Linotype" w:hAnsi="Palatino Linotype" w:cs="Courier New"/>
          <w:color w:val="auto"/>
          <w:lang w:val="en-IN" w:eastAsia="en-IN" w:bidi="hi-IN"/>
        </w:rPr>
        <w:t xml:space="preserve"> </w:t>
      </w:r>
    </w:p>
    <w:p w:rsidR="008D1E7F" w:rsidRPr="009B3DCF" w:rsidRDefault="008D1E7F" w:rsidP="008D1E7F">
      <w:pPr>
        <w:pStyle w:val="Default"/>
        <w:rPr>
          <w:rFonts w:ascii="Palatino Linotype" w:hAnsi="Palatino Linotype" w:cs="Mangal"/>
          <w:color w:val="auto"/>
          <w:lang w:val="en-IN" w:bidi="hi-IN"/>
        </w:rPr>
      </w:pPr>
      <w:r w:rsidRPr="009B3DCF">
        <w:rPr>
          <w:rFonts w:ascii="Palatino Linotype" w:hAnsi="Palatino Linotype" w:cs="Mangal"/>
          <w:color w:val="auto"/>
          <w:lang w:val="en-IN" w:bidi="hi-IN"/>
        </w:rPr>
        <w:t xml:space="preserve">Source:  </w:t>
      </w:r>
      <w:r w:rsidRPr="00E11877">
        <w:rPr>
          <w:rFonts w:ascii="Palatino Linotype" w:hAnsi="Palatino Linotype" w:cs="Mangal"/>
          <w:color w:val="auto"/>
          <w:lang w:val="en-IN" w:bidi="hi-IN"/>
        </w:rPr>
        <w:t>SEBI/HO/IMD/IMD-II DOF3/P/CIR/2021/608</w:t>
      </w:r>
      <w:r w:rsidRPr="009B3DCF">
        <w:rPr>
          <w:rFonts w:ascii="Palatino Linotype" w:hAnsi="Palatino Linotype" w:cs="Mangal"/>
          <w:color w:val="auto"/>
          <w:lang w:val="en-IN" w:bidi="hi-IN"/>
        </w:rPr>
        <w:t xml:space="preserve"> dated July </w:t>
      </w:r>
      <w:r>
        <w:rPr>
          <w:rFonts w:ascii="Palatino Linotype" w:hAnsi="Palatino Linotype" w:cs="Mangal"/>
          <w:color w:val="auto"/>
          <w:lang w:val="en-IN" w:bidi="hi-IN"/>
        </w:rPr>
        <w:t>30</w:t>
      </w:r>
      <w:r w:rsidRPr="009B3DCF">
        <w:rPr>
          <w:rFonts w:ascii="Palatino Linotype" w:hAnsi="Palatino Linotype" w:cs="Mangal"/>
          <w:color w:val="auto"/>
          <w:lang w:val="en-IN" w:bidi="hi-IN"/>
        </w:rPr>
        <w:t>, 2021</w:t>
      </w:r>
    </w:p>
    <w:p w:rsidR="008D1E7F" w:rsidRDefault="008D1E7F" w:rsidP="008D1E7F">
      <w:pPr>
        <w:pStyle w:val="Default"/>
        <w:rPr>
          <w:rFonts w:ascii="Palatino Linotype" w:hAnsi="Palatino Linotype" w:cs="Mangal"/>
          <w:color w:val="auto"/>
          <w:lang w:val="en-IN" w:bidi="hi-IN"/>
        </w:rPr>
      </w:pPr>
    </w:p>
    <w:p w:rsidR="008D1E7F" w:rsidRPr="009B3DCF" w:rsidRDefault="008D1E7F" w:rsidP="008D1E7F">
      <w:pPr>
        <w:autoSpaceDE w:val="0"/>
        <w:autoSpaceDN w:val="0"/>
        <w:adjustRightInd w:val="0"/>
        <w:jc w:val="both"/>
        <w:rPr>
          <w:rFonts w:ascii="Palatino Linotype" w:eastAsia="Calibri" w:hAnsi="Palatino Linotype" w:cs="Mangal"/>
          <w:lang w:val="en-IN" w:bidi="hi-IN"/>
        </w:rPr>
      </w:pPr>
    </w:p>
    <w:p w:rsidR="008D1E7F" w:rsidRPr="009B3DCF" w:rsidRDefault="008D1E7F" w:rsidP="008D1E7F">
      <w:pPr>
        <w:pStyle w:val="Default"/>
        <w:jc w:val="both"/>
        <w:rPr>
          <w:rFonts w:ascii="Palatino Linotype" w:hAnsi="Palatino Linotype" w:cs="Courier New"/>
          <w:b/>
          <w:bCs/>
          <w:color w:val="auto"/>
          <w:lang w:val="en-IN" w:eastAsia="en-IN" w:bidi="hi-IN"/>
        </w:rPr>
      </w:pPr>
      <w:r>
        <w:rPr>
          <w:rFonts w:ascii="Palatino Linotype" w:hAnsi="Palatino Linotype" w:cs="Courier New"/>
          <w:b/>
          <w:bCs/>
          <w:lang w:val="en-IN" w:eastAsia="en-IN" w:bidi="hi-IN"/>
        </w:rPr>
        <w:t>19</w:t>
      </w:r>
      <w:r w:rsidRPr="00E11877">
        <w:rPr>
          <w:rFonts w:ascii="Palatino Linotype" w:hAnsi="Palatino Linotype" w:cs="Courier New"/>
          <w:b/>
          <w:bCs/>
          <w:lang w:val="en-IN" w:eastAsia="en-IN" w:bidi="hi-IN"/>
        </w:rPr>
        <w:t>.</w:t>
      </w:r>
      <w:r w:rsidRPr="00E11877">
        <w:rPr>
          <w:rFonts w:ascii="Palatino Linotype" w:hAnsi="Palatino Linotype" w:cs="Courier New"/>
          <w:b/>
          <w:bCs/>
          <w:lang w:val="en-IN" w:eastAsia="en-IN" w:bidi="hi-IN"/>
        </w:rPr>
        <w:tab/>
        <w:t>Intra-day Net Asset Value (NAV) for transactions in units of Exchange Traded Funds directly with Asset Management Companies</w:t>
      </w:r>
    </w:p>
    <w:p w:rsidR="008D1E7F" w:rsidRPr="009B3DCF" w:rsidRDefault="008D1E7F" w:rsidP="008D1E7F">
      <w:pPr>
        <w:pStyle w:val="Default"/>
        <w:jc w:val="both"/>
        <w:rPr>
          <w:rFonts w:ascii="Palatino Linotype" w:hAnsi="Palatino Linotype" w:cs="Courier New"/>
          <w:color w:val="auto"/>
          <w:lang w:val="en-IN" w:eastAsia="en-IN" w:bidi="hi-IN"/>
        </w:rPr>
      </w:pPr>
    </w:p>
    <w:p w:rsidR="008D1E7F" w:rsidRDefault="008D1E7F" w:rsidP="008D1E7F">
      <w:pPr>
        <w:rPr>
          <w:rFonts w:ascii="Palatino Linotype" w:hAnsi="Palatino Linotype" w:cs="Courier New"/>
          <w:lang w:val="en-IN" w:eastAsia="en-IN" w:bidi="hi-IN"/>
        </w:rPr>
      </w:pPr>
      <w:r w:rsidRPr="00E11877">
        <w:rPr>
          <w:rFonts w:ascii="Palatino Linotype" w:hAnsi="Palatino Linotype" w:cs="Courier New"/>
          <w:lang w:val="en-IN" w:eastAsia="en-IN" w:bidi="hi-IN"/>
        </w:rPr>
        <w:t>For transactions in  units  of  Exchange Traded Funds (ETFs) by Authorized Participants / large investors directly with the AMCs, SEBI has clarified  that intra-day NAV, based on the executed price at which the securities representing the underlying index or underlying commodities are purchased / sold, shall be applicable.</w:t>
      </w:r>
    </w:p>
    <w:p w:rsidR="008D1E7F" w:rsidRPr="009B3DCF" w:rsidRDefault="008D1E7F" w:rsidP="008D1E7F">
      <w:pPr>
        <w:rPr>
          <w:rFonts w:ascii="Palatino Linotype" w:hAnsi="Palatino Linotype" w:cs="Arial"/>
          <w:sz w:val="23"/>
          <w:szCs w:val="23"/>
        </w:rPr>
      </w:pPr>
    </w:p>
    <w:p w:rsidR="008D1E7F" w:rsidRPr="009B3DCF" w:rsidRDefault="008D1E7F" w:rsidP="008D1E7F">
      <w:pPr>
        <w:autoSpaceDE w:val="0"/>
        <w:autoSpaceDN w:val="0"/>
        <w:adjustRightInd w:val="0"/>
        <w:rPr>
          <w:rFonts w:ascii="Palatino Linotype" w:eastAsia="Calibri" w:hAnsi="Palatino Linotype" w:cs="Calibri"/>
          <w:color w:val="000000"/>
          <w:lang w:val="en-IN" w:bidi="hi-IN"/>
        </w:rPr>
      </w:pPr>
      <w:r w:rsidRPr="009B3DCF">
        <w:rPr>
          <w:rFonts w:ascii="Palatino Linotype" w:eastAsia="Calibri" w:hAnsi="Palatino Linotype" w:cs="Mangal"/>
          <w:lang w:val="en-IN" w:bidi="hi-IN"/>
        </w:rPr>
        <w:t xml:space="preserve">Source:  </w:t>
      </w:r>
      <w:r w:rsidRPr="00E11877">
        <w:rPr>
          <w:rFonts w:ascii="Palatino Linotype" w:eastAsia="Calibri" w:hAnsi="Palatino Linotype" w:cs="Mangal"/>
          <w:lang w:val="en-IN" w:bidi="hi-IN"/>
        </w:rPr>
        <w:t>SEBI/HO/IMD/IMD-I/DOF5/P/CIR/2021/0606</w:t>
      </w:r>
      <w:r w:rsidRPr="009B3DCF">
        <w:rPr>
          <w:rFonts w:ascii="Palatino Linotype" w:eastAsia="Calibri" w:hAnsi="Palatino Linotype" w:cs="Mangal"/>
          <w:lang w:val="en-IN" w:bidi="hi-IN"/>
        </w:rPr>
        <w:t xml:space="preserve"> dated July </w:t>
      </w:r>
      <w:r>
        <w:rPr>
          <w:rFonts w:ascii="Palatino Linotype" w:eastAsia="Calibri" w:hAnsi="Palatino Linotype" w:cs="Mangal"/>
          <w:lang w:val="en-IN" w:bidi="hi-IN"/>
        </w:rPr>
        <w:t>30</w:t>
      </w:r>
      <w:r w:rsidRPr="009B3DCF">
        <w:rPr>
          <w:rFonts w:ascii="Palatino Linotype" w:eastAsia="Calibri" w:hAnsi="Palatino Linotype" w:cs="Mangal"/>
          <w:lang w:val="en-IN" w:bidi="hi-IN"/>
        </w:rPr>
        <w:t>, 2021</w:t>
      </w:r>
    </w:p>
    <w:p w:rsidR="008D1E7F" w:rsidRDefault="008D1E7F" w:rsidP="008D1E7F">
      <w:pPr>
        <w:jc w:val="center"/>
        <w:rPr>
          <w:rFonts w:ascii="Palatino Linotype" w:hAnsi="Palatino Linotype"/>
          <w:b/>
          <w:sz w:val="28"/>
          <w:szCs w:val="36"/>
          <w:u w:val="single"/>
        </w:rPr>
      </w:pPr>
    </w:p>
    <w:p w:rsidR="008D1E7F" w:rsidRDefault="008D1E7F" w:rsidP="00F025AD">
      <w:pPr>
        <w:spacing w:after="120"/>
        <w:rPr>
          <w:rFonts w:ascii="Garamond" w:hAnsi="Garamond" w:cs="Arial"/>
          <w:i/>
          <w:szCs w:val="32"/>
        </w:rPr>
      </w:pPr>
    </w:p>
    <w:p w:rsidR="00F025AD" w:rsidRDefault="00284E34" w:rsidP="00F025AD">
      <w:pPr>
        <w:spacing w:after="120"/>
        <w:rPr>
          <w:rFonts w:ascii="Garamond" w:hAnsi="Garamond" w:cs="Arial"/>
          <w:i/>
          <w:szCs w:val="32"/>
        </w:rPr>
      </w:pPr>
      <w:r w:rsidRPr="008570C3">
        <w:rPr>
          <w:rFonts w:ascii="Garamond" w:hAnsi="Garamond" w:cs="Arial"/>
          <w:i/>
          <w:szCs w:val="32"/>
        </w:rPr>
        <w:t>Disclaimer: The summary has been prepared for the convenience of readers. In case of any ambiguity, please refer to the original circular.</w:t>
      </w:r>
    </w:p>
    <w:p w:rsidR="00F025AD" w:rsidRDefault="00F025AD" w:rsidP="00F025AD">
      <w:pPr>
        <w:spacing w:after="120"/>
        <w:rPr>
          <w:rFonts w:ascii="Garamond" w:hAnsi="Garamond" w:cs="Arial"/>
          <w:i/>
          <w:szCs w:val="32"/>
        </w:rPr>
      </w:pPr>
    </w:p>
    <w:p w:rsidR="007C2E4F" w:rsidRDefault="007C2E4F"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D80A78" w:rsidRDefault="00D80A78" w:rsidP="00F025AD">
      <w:pPr>
        <w:spacing w:after="120"/>
        <w:jc w:val="center"/>
        <w:rPr>
          <w:rFonts w:ascii="Palatino Linotype" w:hAnsi="Palatino Linotype"/>
          <w:b/>
          <w:sz w:val="28"/>
          <w:szCs w:val="28"/>
        </w:rPr>
      </w:pPr>
    </w:p>
    <w:p w:rsidR="00272724" w:rsidRPr="004752BB" w:rsidRDefault="00272724" w:rsidP="00F025AD">
      <w:pPr>
        <w:spacing w:after="120"/>
        <w:jc w:val="center"/>
        <w:rPr>
          <w:rFonts w:ascii="Palatino Linotype" w:hAnsi="Palatino Linotype"/>
          <w:b/>
          <w:sz w:val="28"/>
          <w:szCs w:val="28"/>
        </w:rPr>
      </w:pPr>
      <w:r w:rsidRPr="004752BB">
        <w:rPr>
          <w:rFonts w:ascii="Palatino Linotype" w:hAnsi="Palatino Linotype"/>
          <w:b/>
          <w:sz w:val="28"/>
          <w:szCs w:val="28"/>
        </w:rPr>
        <w:lastRenderedPageBreak/>
        <w:t>REGULATORY ACTIONS TAKEN BY SEBI</w:t>
      </w:r>
    </w:p>
    <w:p w:rsidR="00272724" w:rsidRDefault="00272724" w:rsidP="00272724">
      <w:pPr>
        <w:rPr>
          <w:rFonts w:ascii="Palatino Linotype" w:hAnsi="Palatino Linotype"/>
          <w:b/>
          <w:sz w:val="40"/>
          <w:szCs w:val="40"/>
        </w:rPr>
      </w:pPr>
    </w:p>
    <w:p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rsidR="00A07B14" w:rsidRDefault="00A07B14" w:rsidP="00272724">
      <w:pPr>
        <w:rPr>
          <w:rFonts w:ascii="Palatino Linotype" w:hAnsi="Palatino Linotype"/>
          <w:b/>
        </w:rPr>
      </w:pPr>
    </w:p>
    <w:tbl>
      <w:tblPr>
        <w:tblW w:w="11482" w:type="dxa"/>
        <w:tblInd w:w="-714" w:type="dxa"/>
        <w:tblLayout w:type="fixed"/>
        <w:tblLook w:val="04A0" w:firstRow="1" w:lastRow="0" w:firstColumn="1" w:lastColumn="0" w:noHBand="0" w:noVBand="1"/>
      </w:tblPr>
      <w:tblGrid>
        <w:gridCol w:w="567"/>
        <w:gridCol w:w="1276"/>
        <w:gridCol w:w="2127"/>
        <w:gridCol w:w="1559"/>
        <w:gridCol w:w="2126"/>
        <w:gridCol w:w="2268"/>
        <w:gridCol w:w="1559"/>
      </w:tblGrid>
      <w:tr w:rsidR="000E7AC9"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0E7AC9"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Sl.</w:t>
            </w:r>
          </w:p>
          <w:p w:rsidR="000E7AC9" w:rsidRPr="00B83873"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Date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Case 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 xml:space="preserve">Action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Violation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PENALTY</w:t>
            </w:r>
            <w:r>
              <w:rPr>
                <w:rFonts w:ascii="Palatino Linotype" w:hAnsi="Palatino Linotype" w:cs="Calibri"/>
                <w:b/>
                <w:bCs/>
                <w:color w:val="000000"/>
                <w:sz w:val="20"/>
                <w:szCs w:val="20"/>
                <w:lang w:val="en-IN" w:eastAsia="en-IN" w:bidi="hi-IN"/>
              </w:rPr>
              <w:t xml:space="preserve"> (</w:t>
            </w:r>
            <w:r w:rsidRPr="00D22F0B">
              <w:rPr>
                <w:rFonts w:ascii="Rupee Foradian" w:hAnsi="Rupee Foradian" w:cs="Calibri"/>
                <w:b/>
                <w:bCs/>
                <w:color w:val="000000"/>
                <w:sz w:val="20"/>
                <w:szCs w:val="20"/>
                <w:lang w:val="en-IN" w:eastAsia="en-IN" w:bidi="hi-IN"/>
              </w:rPr>
              <w:t>`</w:t>
            </w:r>
            <w:r>
              <w:rPr>
                <w:rFonts w:ascii="Palatino Linotype" w:hAnsi="Palatino Linotype" w:cs="Calibri"/>
                <w:b/>
                <w:bCs/>
                <w:color w:val="000000"/>
                <w:sz w:val="20"/>
                <w:szCs w:val="20"/>
                <w:lang w:val="en-IN" w:eastAsia="en-IN" w:bidi="hi-IN"/>
              </w:rPr>
              <w:t>)</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02/07/2021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Remac Realty India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hAnsi="Palatino Linotype"/>
                <w:sz w:val="21"/>
                <w:szCs w:val="21"/>
              </w:rPr>
              <w:t>Debapratim Mazumder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hAnsi="Palatino Linotype"/>
                <w:sz w:val="21"/>
                <w:szCs w:val="21"/>
              </w:rPr>
              <w:t>Section 12(1B) of the SEBI Act read with Regulation 3 of SEBI  (Collective Investment Schemes) Regulations, 1999 and Regulation 4(2)(t)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hAnsi="Palatino Linotype"/>
                <w:sz w:val="21"/>
                <w:szCs w:val="21"/>
              </w:rPr>
              <w:t>-</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02/07/2021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Alleged fraudulent transfer of Mutual Fund units from  client accounts by AFPSL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 xml:space="preserve">Allied Financial Services Pvt Ltd (AFPSL), Awanish Kumar Mishra, Himanshu Arora,  Jitendra Kumar Tiwar.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hAnsi="Palatino Linotype"/>
                <w:sz w:val="21"/>
                <w:szCs w:val="21"/>
              </w:rPr>
              <w:t xml:space="preserve">Regulations 3(a), 4(1) and 4(2)(p) of the PFUTP Regulations, Depositories Act 1996, DP Regulations 2018 and SEBI circulars dated August 22, 2011, and January 07, 2014.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hAnsi="Palatino Linotype"/>
                <w:sz w:val="21"/>
                <w:szCs w:val="21"/>
              </w:rPr>
              <w:t>12,42,00,000</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02/07/2021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Alleged fraudulent transfer of Mutual Fund units from client accounts by AFPSL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hAnsi="Palatino Linotype"/>
                <w:sz w:val="21"/>
                <w:szCs w:val="21"/>
              </w:rPr>
              <w:t>IL&amp;FS  Securities Services Limited (ISSL)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hAnsi="Palatino Linotype"/>
                <w:sz w:val="21"/>
                <w:szCs w:val="21"/>
              </w:rPr>
              <w:t>Regulations 3(a) and 4(1) of PFUTP Regulations, Regulation 4.5.1 of the NSE Clearing Limited F &amp; O Regulations, Rule12 of Chapter IV of NCL Rules, Bye-law 3 of the NCL F &amp; O Bye-laws and Clauses A(2) and A(5) of the Code of Conduct specified in Schedule II read with Regulation 9(f) of the Broker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hAnsi="Palatino Linotype"/>
                <w:sz w:val="21"/>
                <w:szCs w:val="21"/>
              </w:rPr>
              <w:t>26,00,00,000</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05/07/2021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Basan Financial Services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Basan Financial Services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eastAsia="Calibri" w:hAnsi="Palatino Linotype" w:cs="Mangal"/>
                <w:sz w:val="21"/>
                <w:szCs w:val="21"/>
                <w:lang w:bidi="hi-IN"/>
              </w:rPr>
              <w:t xml:space="preserve">Regulations 14(e) read with Regulation 16,Regulation 31(1) (2) and (4) and Clause 3, 21 and 29 of the </w:t>
            </w:r>
            <w:r w:rsidRPr="00610C35">
              <w:rPr>
                <w:rFonts w:ascii="Palatino Linotype" w:eastAsia="Calibri" w:hAnsi="Palatino Linotype" w:cs="Mangal"/>
                <w:sz w:val="21"/>
                <w:szCs w:val="21"/>
                <w:lang w:bidi="hi-IN"/>
              </w:rPr>
              <w:lastRenderedPageBreak/>
              <w:t>Code of Conduct specified in Schedule III read withRegulation 13 of the Merchant Bankers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eastAsia="Calibri" w:hAnsi="Palatino Linotype" w:cs="Mangal"/>
                <w:sz w:val="21"/>
                <w:szCs w:val="21"/>
                <w:lang w:bidi="hi-IN"/>
              </w:rPr>
              <w:lastRenderedPageBreak/>
              <w:t>-</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5</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06/07/2021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Parasram Holdings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Parasram Holdings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eastAsia="Calibri" w:hAnsi="Palatino Linotype" w:cs="Mangal"/>
                <w:sz w:val="21"/>
                <w:szCs w:val="21"/>
                <w:lang w:bidi="hi-IN"/>
              </w:rPr>
              <w:t>Provisions of SEBI  Circular  No.  SEBI/MRD/SE/SU/Cir-15/04  dated  19  March,  2004andclausesA(1),  (2), (3)  and  A(5)  of  the  Code  of  Conduct  prescribed  for  the  Stock Brokers under Regulation 9 of the Broker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eastAsia="Calibri" w:hAnsi="Palatino Linotype" w:cs="Mangal"/>
                <w:sz w:val="21"/>
                <w:szCs w:val="21"/>
                <w:lang w:bidi="hi-IN"/>
              </w:rPr>
              <w:t>-</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6</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08/07/2021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Biocon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hAnsi="Palatino Linotype"/>
                <w:sz w:val="21"/>
                <w:szCs w:val="21"/>
              </w:rPr>
            </w:pPr>
            <w:r w:rsidRPr="00610C35">
              <w:rPr>
                <w:rFonts w:ascii="Palatino Linotype" w:eastAsia="Calibri" w:hAnsi="Palatino Linotype" w:cs="Mangal"/>
                <w:sz w:val="21"/>
                <w:szCs w:val="21"/>
                <w:lang w:bidi="hi-IN"/>
              </w:rPr>
              <w:t xml:space="preserve">Kunal Ashok Kashyap, M/s Allegro   Capital Private Limited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hAnsi="Palatino Linotype"/>
                <w:sz w:val="21"/>
                <w:szCs w:val="21"/>
              </w:rPr>
            </w:pPr>
            <w:r w:rsidRPr="00610C35">
              <w:rPr>
                <w:rFonts w:ascii="Palatino Linotype" w:eastAsia="Calibri" w:hAnsi="Palatino Linotype" w:cs="Mangal"/>
                <w:sz w:val="21"/>
                <w:szCs w:val="21"/>
                <w:lang w:bidi="hi-IN"/>
              </w:rPr>
              <w:t>Regulation 4 (1) of SEBI (Prohibition of Insider Trading) Regulations, 2015 and Sections 12A (d)and 12A(e) of SEBI Act, Section 15G(i) of SEBI Act.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hAnsi="Palatino Linotype"/>
                <w:sz w:val="21"/>
                <w:szCs w:val="21"/>
              </w:rPr>
            </w:pPr>
            <w:r w:rsidRPr="00610C35">
              <w:rPr>
                <w:rFonts w:ascii="Palatino Linotype" w:eastAsia="Calibri" w:hAnsi="Palatino Linotype" w:cs="Mangal"/>
                <w:sz w:val="21"/>
                <w:szCs w:val="21"/>
                <w:lang w:bidi="hi-IN"/>
              </w:rPr>
              <w:t>20,00,000</w:t>
            </w:r>
          </w:p>
        </w:tc>
      </w:tr>
      <w:tr w:rsidR="00765C1D" w:rsidRPr="00B83873" w:rsidTr="00765C1D">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7</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08/07/2021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Five Core Electronics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 xml:space="preserve">Five Core Electronics Limited and 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shd w:val="clear" w:color="auto" w:fill="FFFFFF"/>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Provisions  of Regulation  3(d) of PFUTP Regulations, 2003  provisions   of   LODR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right"/>
              <w:rPr>
                <w:rFonts w:ascii="Palatino Linotype" w:eastAsia="Calibri" w:hAnsi="Palatino Linotype" w:cs="Mangal"/>
                <w:sz w:val="21"/>
                <w:szCs w:val="21"/>
              </w:rPr>
            </w:pPr>
            <w:r w:rsidRPr="00610C35">
              <w:rPr>
                <w:rFonts w:ascii="Palatino Linotype" w:eastAsia="Calibri" w:hAnsi="Palatino Linotype" w:cs="Mangal"/>
                <w:sz w:val="21"/>
                <w:szCs w:val="21"/>
                <w:lang w:bidi="hi-IN"/>
              </w:rPr>
              <w:t>-</w:t>
            </w:r>
          </w:p>
        </w:tc>
      </w:tr>
      <w:tr w:rsidR="00765C1D" w:rsidRPr="00B83873" w:rsidTr="004127A2">
        <w:trPr>
          <w:trHeight w:val="300"/>
        </w:trPr>
        <w:tc>
          <w:tcPr>
            <w:tcW w:w="567" w:type="dxa"/>
            <w:tcBorders>
              <w:top w:val="single" w:sz="4" w:space="0" w:color="auto"/>
              <w:left w:val="single" w:sz="4" w:space="0" w:color="auto"/>
              <w:bottom w:val="single" w:sz="4" w:space="0" w:color="auto"/>
              <w:right w:val="single" w:sz="4" w:space="0" w:color="auto"/>
            </w:tcBorders>
          </w:tcPr>
          <w:p w:rsidR="00765C1D" w:rsidRPr="00610C35" w:rsidRDefault="00765C1D" w:rsidP="00765C1D">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8</w:t>
            </w:r>
          </w:p>
        </w:tc>
        <w:tc>
          <w:tcPr>
            <w:tcW w:w="1276" w:type="dxa"/>
            <w:tcBorders>
              <w:top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08/07/2021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V. B. Industries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jc w:val="both"/>
              <w:rPr>
                <w:rFonts w:ascii="Palatino Linotype" w:eastAsia="Calibri" w:hAnsi="Palatino Linotype" w:cs="Mangal"/>
                <w:sz w:val="21"/>
                <w:szCs w:val="21"/>
              </w:rPr>
            </w:pPr>
            <w:r w:rsidRPr="00610C35">
              <w:rPr>
                <w:rFonts w:ascii="Palatino Linotype" w:eastAsia="Calibri" w:hAnsi="Palatino Linotype" w:cs="Mangal"/>
                <w:sz w:val="21"/>
                <w:szCs w:val="21"/>
                <w:lang w:bidi="hi-IN"/>
              </w:rPr>
              <w:t>V. B. Industries Limited and 8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65C1D" w:rsidRPr="00610C35" w:rsidRDefault="00765C1D" w:rsidP="00765C1D">
            <w:pPr>
              <w:jc w:val="both"/>
              <w:rPr>
                <w:rFonts w:ascii="Palatino Linotype" w:eastAsia="Calibri" w:hAnsi="Palatino Linotype" w:cs="Mangal"/>
                <w:sz w:val="21"/>
                <w:szCs w:val="21"/>
                <w:lang w:bidi="hi-IN"/>
              </w:rPr>
            </w:pPr>
            <w:r w:rsidRPr="00610C35">
              <w:rPr>
                <w:rFonts w:ascii="Palatino Linotype" w:eastAsia="Calibri" w:hAnsi="Palatino Linotype" w:cs="Mangal"/>
                <w:sz w:val="21"/>
                <w:szCs w:val="21"/>
                <w:lang w:bidi="hi-IN"/>
              </w:rPr>
              <w:t>Section 12A(a), (b) &amp; (c), 11(i) and (ia) of SEBI Act, 1992.</w:t>
            </w:r>
          </w:p>
          <w:p w:rsidR="00765C1D" w:rsidRPr="00610C35" w:rsidRDefault="00765C1D" w:rsidP="00765C1D">
            <w:pPr>
              <w:jc w:val="both"/>
              <w:rPr>
                <w:rFonts w:ascii="Palatino Linotype" w:eastAsia="Calibri" w:hAnsi="Palatino Linotype" w:cs="Mangal"/>
                <w:sz w:val="21"/>
                <w:szCs w:val="21"/>
                <w:lang w:bidi="hi-IN"/>
              </w:rPr>
            </w:pPr>
            <w:r w:rsidRPr="00610C35">
              <w:rPr>
                <w:rFonts w:ascii="Palatino Linotype" w:eastAsia="Calibri" w:hAnsi="Palatino Linotype" w:cs="Mangal"/>
                <w:sz w:val="21"/>
                <w:szCs w:val="21"/>
                <w:lang w:bidi="hi-IN"/>
              </w:rPr>
              <w:t xml:space="preserve">Regulations 3(b), 3(c) and 3(d),  4(1),  4(2)(a), 4(2)(e), 4(2) (f)  &amp;  4(2)(r)  of  PFUTP Regulation, 2003. </w:t>
            </w:r>
          </w:p>
          <w:p w:rsidR="00765C1D" w:rsidRPr="00610C35" w:rsidRDefault="00765C1D" w:rsidP="00765C1D">
            <w:pPr>
              <w:jc w:val="both"/>
              <w:rPr>
                <w:rFonts w:ascii="Palatino Linotype" w:eastAsia="Calibri" w:hAnsi="Palatino Linotype" w:cs="Mangal"/>
                <w:sz w:val="21"/>
                <w:szCs w:val="21"/>
                <w:lang w:bidi="hi-IN"/>
              </w:rPr>
            </w:pPr>
            <w:r w:rsidRPr="00610C35">
              <w:rPr>
                <w:rFonts w:ascii="Palatino Linotype" w:eastAsia="Calibri" w:hAnsi="Palatino Linotype" w:cs="Mangal"/>
                <w:sz w:val="21"/>
                <w:szCs w:val="21"/>
                <w:lang w:bidi="hi-IN"/>
              </w:rPr>
              <w:t xml:space="preserve">LODR Regulations. </w:t>
            </w:r>
          </w:p>
          <w:p w:rsidR="00765C1D" w:rsidRPr="00610C35" w:rsidRDefault="00765C1D" w:rsidP="00765C1D">
            <w:pPr>
              <w:shd w:val="clear" w:color="auto" w:fill="FFFFFF"/>
              <w:jc w:val="both"/>
              <w:rPr>
                <w:rFonts w:ascii="Palatino Linotype" w:eastAsia="Calibri" w:hAnsi="Palatino Linotype" w:cs="Mangal"/>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765C1D" w:rsidRPr="00610C35" w:rsidRDefault="00765C1D" w:rsidP="00765C1D">
            <w:pPr>
              <w:rPr>
                <w:rFonts w:ascii="Palatino Linotype" w:eastAsia="Calibri" w:hAnsi="Palatino Linotype" w:cs="Mangal"/>
                <w:sz w:val="21"/>
                <w:szCs w:val="21"/>
              </w:rPr>
            </w:pPr>
            <w:r w:rsidRPr="00610C35">
              <w:rPr>
                <w:rFonts w:ascii="Palatino Linotype" w:eastAsia="Calibri" w:hAnsi="Palatino Linotype" w:cs="Mangal"/>
                <w:sz w:val="21"/>
                <w:szCs w:val="21"/>
                <w:lang w:bidi="hi-IN"/>
              </w:rPr>
              <w:t>67,00,000</w:t>
            </w:r>
          </w:p>
        </w:tc>
      </w:tr>
      <w:tr w:rsidR="004127A2" w:rsidRPr="00B83873" w:rsidTr="004127A2">
        <w:trPr>
          <w:trHeight w:val="300"/>
        </w:trPr>
        <w:tc>
          <w:tcPr>
            <w:tcW w:w="567" w:type="dxa"/>
            <w:tcBorders>
              <w:top w:val="single" w:sz="4" w:space="0" w:color="auto"/>
              <w:left w:val="single" w:sz="4" w:space="0" w:color="auto"/>
              <w:bottom w:val="single" w:sz="4" w:space="0" w:color="auto"/>
              <w:right w:val="single" w:sz="4" w:space="0" w:color="auto"/>
            </w:tcBorders>
          </w:tcPr>
          <w:p w:rsidR="004127A2" w:rsidRPr="00610C35" w:rsidRDefault="004127A2" w:rsidP="004127A2">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9</w:t>
            </w:r>
          </w:p>
        </w:tc>
        <w:tc>
          <w:tcPr>
            <w:tcW w:w="1276" w:type="dxa"/>
            <w:tcBorders>
              <w:top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12/07/2021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Capacious Farming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Capacious Farming Pvt. Ltd and 3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127A2" w:rsidRPr="00610C35" w:rsidRDefault="004127A2" w:rsidP="004127A2">
            <w:pPr>
              <w:shd w:val="clear" w:color="auto" w:fill="FFFFFF"/>
              <w:jc w:val="both"/>
              <w:rPr>
                <w:rFonts w:ascii="Palatino Linotype" w:eastAsia="Calibri" w:hAnsi="Palatino Linotype" w:cs="Mangal"/>
                <w:sz w:val="21"/>
                <w:szCs w:val="21"/>
              </w:rPr>
            </w:pPr>
            <w:r w:rsidRPr="00610C35">
              <w:rPr>
                <w:rFonts w:ascii="Palatino Linotype" w:hAnsi="Palatino Linotype"/>
                <w:sz w:val="21"/>
                <w:szCs w:val="21"/>
              </w:rPr>
              <w:t xml:space="preserve">Section  12(1B)  of  the  SEBI  Act  read  with  Regulation  3  of  the SEBI (Collective Investment </w:t>
            </w:r>
            <w:r w:rsidRPr="00610C35">
              <w:rPr>
                <w:rFonts w:ascii="Palatino Linotype" w:hAnsi="Palatino Linotype"/>
                <w:sz w:val="21"/>
                <w:szCs w:val="21"/>
              </w:rPr>
              <w:lastRenderedPageBreak/>
              <w:t>Scheme)Regulations, 1999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right"/>
              <w:rPr>
                <w:rFonts w:ascii="Palatino Linotype" w:eastAsia="Calibri" w:hAnsi="Palatino Linotype" w:cs="Mangal"/>
                <w:sz w:val="21"/>
                <w:szCs w:val="21"/>
              </w:rPr>
            </w:pPr>
            <w:r w:rsidRPr="00610C35">
              <w:rPr>
                <w:rFonts w:ascii="Palatino Linotype" w:hAnsi="Palatino Linotype"/>
                <w:sz w:val="21"/>
                <w:szCs w:val="21"/>
              </w:rPr>
              <w:lastRenderedPageBreak/>
              <w:t>-</w:t>
            </w:r>
          </w:p>
        </w:tc>
      </w:tr>
      <w:tr w:rsidR="004127A2" w:rsidRPr="00B83873" w:rsidTr="004127A2">
        <w:trPr>
          <w:trHeight w:val="300"/>
        </w:trPr>
        <w:tc>
          <w:tcPr>
            <w:tcW w:w="567" w:type="dxa"/>
            <w:tcBorders>
              <w:top w:val="single" w:sz="4" w:space="0" w:color="auto"/>
              <w:left w:val="single" w:sz="4" w:space="0" w:color="auto"/>
              <w:bottom w:val="single" w:sz="4" w:space="0" w:color="auto"/>
              <w:right w:val="single" w:sz="4" w:space="0" w:color="auto"/>
            </w:tcBorders>
          </w:tcPr>
          <w:p w:rsidR="004127A2" w:rsidRPr="00610C35" w:rsidRDefault="004127A2" w:rsidP="004127A2">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10</w:t>
            </w:r>
          </w:p>
        </w:tc>
        <w:tc>
          <w:tcPr>
            <w:tcW w:w="1276" w:type="dxa"/>
            <w:tcBorders>
              <w:top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14/07/2021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Venmax Drugs &amp; PharmaceuticalsLimited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N. V. Narender, N. Krishnaniah, A. Ramakrishnaiah, G.   S.   V.   Divya Jyothi, A. Venkateswarlu, Venmax Drugs &amp; Pharmaceuticals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127A2" w:rsidRPr="00610C35" w:rsidRDefault="004127A2" w:rsidP="004127A2">
            <w:pPr>
              <w:shd w:val="clear" w:color="auto" w:fill="FFFFFF"/>
              <w:jc w:val="both"/>
              <w:rPr>
                <w:rFonts w:ascii="Palatino Linotype" w:hAnsi="Palatino Linotype"/>
                <w:sz w:val="21"/>
                <w:szCs w:val="21"/>
              </w:rPr>
            </w:pPr>
            <w:r w:rsidRPr="00610C35">
              <w:rPr>
                <w:rFonts w:ascii="Palatino Linotype" w:hAnsi="Palatino Linotype"/>
                <w:sz w:val="21"/>
                <w:szCs w:val="21"/>
              </w:rPr>
              <w:t>Section 12A(1) of SCRA, 1956 read with Section 19and Section 11(2)(j) of SEBI Act, 1992</w:t>
            </w:r>
          </w:p>
          <w:p w:rsidR="004127A2" w:rsidRPr="00610C35" w:rsidRDefault="004127A2" w:rsidP="004127A2">
            <w:pPr>
              <w:shd w:val="clear" w:color="auto" w:fill="FFFFFF"/>
              <w:jc w:val="both"/>
              <w:rPr>
                <w:rFonts w:ascii="Palatino Linotype" w:eastAsia="Calibri" w:hAnsi="Palatino Linotype" w:cs="Mangal"/>
                <w:sz w:val="21"/>
                <w:szCs w:val="21"/>
              </w:rPr>
            </w:pPr>
            <w:r w:rsidRPr="00610C35">
              <w:rPr>
                <w:rFonts w:ascii="Palatino Linotype" w:hAnsi="Palatino Linotype"/>
                <w:sz w:val="21"/>
                <w:szCs w:val="21"/>
              </w:rPr>
              <w:t>LODR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right"/>
              <w:rPr>
                <w:rFonts w:ascii="Palatino Linotype" w:eastAsia="Calibri" w:hAnsi="Palatino Linotype" w:cs="Mangal"/>
                <w:sz w:val="21"/>
                <w:szCs w:val="21"/>
              </w:rPr>
            </w:pPr>
            <w:r w:rsidRPr="00610C35">
              <w:rPr>
                <w:rFonts w:ascii="Palatino Linotype" w:hAnsi="Palatino Linotype"/>
                <w:sz w:val="21"/>
                <w:szCs w:val="21"/>
              </w:rPr>
              <w:t>60,00,000</w:t>
            </w:r>
          </w:p>
        </w:tc>
      </w:tr>
      <w:tr w:rsidR="004127A2" w:rsidRPr="00B83873" w:rsidTr="004127A2">
        <w:trPr>
          <w:trHeight w:val="300"/>
        </w:trPr>
        <w:tc>
          <w:tcPr>
            <w:tcW w:w="567" w:type="dxa"/>
            <w:tcBorders>
              <w:top w:val="single" w:sz="4" w:space="0" w:color="auto"/>
              <w:left w:val="single" w:sz="4" w:space="0" w:color="auto"/>
              <w:bottom w:val="single" w:sz="4" w:space="0" w:color="auto"/>
              <w:right w:val="single" w:sz="4" w:space="0" w:color="auto"/>
            </w:tcBorders>
          </w:tcPr>
          <w:p w:rsidR="004127A2" w:rsidRPr="00610C35" w:rsidRDefault="004127A2" w:rsidP="004127A2">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11</w:t>
            </w:r>
          </w:p>
        </w:tc>
        <w:tc>
          <w:tcPr>
            <w:tcW w:w="1276" w:type="dxa"/>
            <w:tcBorders>
              <w:top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Wasankar Wealth Management Ltd. And Prashant Wasankar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Wasankar Wealth Management Ltd. And Prashant Wasankar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127A2" w:rsidRPr="00610C35" w:rsidRDefault="004127A2" w:rsidP="004127A2">
            <w:pPr>
              <w:shd w:val="clear" w:color="auto" w:fill="FFFFFF"/>
              <w:jc w:val="both"/>
              <w:rPr>
                <w:rFonts w:ascii="Palatino Linotype" w:eastAsia="Calibri" w:hAnsi="Palatino Linotype" w:cs="Mangal"/>
                <w:sz w:val="21"/>
                <w:szCs w:val="21"/>
              </w:rPr>
            </w:pPr>
            <w:r w:rsidRPr="00610C35">
              <w:rPr>
                <w:rFonts w:ascii="Palatino Linotype" w:hAnsi="Palatino Linotype"/>
                <w:sz w:val="21"/>
                <w:szCs w:val="21"/>
              </w:rPr>
              <w:t>SEBI Act, the PFUTP Regulations 2003, the SCR  Rules,  the  Stock  Brokers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right"/>
              <w:rPr>
                <w:rFonts w:ascii="Palatino Linotype" w:eastAsia="Calibri" w:hAnsi="Palatino Linotype" w:cs="Mangal"/>
                <w:sz w:val="21"/>
                <w:szCs w:val="21"/>
              </w:rPr>
            </w:pPr>
            <w:r w:rsidRPr="00610C35">
              <w:rPr>
                <w:rFonts w:ascii="Palatino Linotype" w:hAnsi="Palatino Linotype"/>
                <w:sz w:val="21"/>
                <w:szCs w:val="21"/>
              </w:rPr>
              <w:t>-</w:t>
            </w:r>
          </w:p>
        </w:tc>
      </w:tr>
      <w:tr w:rsidR="004127A2"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4127A2" w:rsidRPr="00610C35" w:rsidRDefault="004127A2" w:rsidP="004127A2">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12</w:t>
            </w:r>
          </w:p>
        </w:tc>
        <w:tc>
          <w:tcPr>
            <w:tcW w:w="1276" w:type="dxa"/>
            <w:tcBorders>
              <w:top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Global Infratech and Finance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both"/>
              <w:rPr>
                <w:rFonts w:ascii="Palatino Linotype" w:eastAsia="Calibri" w:hAnsi="Palatino Linotype" w:cs="Mangal"/>
                <w:sz w:val="21"/>
                <w:szCs w:val="21"/>
              </w:rPr>
            </w:pPr>
            <w:r w:rsidRPr="00610C35">
              <w:rPr>
                <w:rFonts w:ascii="Palatino Linotype" w:hAnsi="Palatino Linotype"/>
                <w:sz w:val="21"/>
                <w:szCs w:val="21"/>
              </w:rPr>
              <w:t>Global Infratech &amp; Finance Ltd and 14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127A2" w:rsidRPr="00610C35" w:rsidRDefault="004127A2" w:rsidP="004127A2">
            <w:pPr>
              <w:shd w:val="clear" w:color="auto" w:fill="FFFFFF"/>
              <w:jc w:val="both"/>
              <w:rPr>
                <w:rFonts w:ascii="Palatino Linotype" w:eastAsia="Calibri" w:hAnsi="Palatino Linotype" w:cs="Mangal"/>
                <w:sz w:val="21"/>
                <w:szCs w:val="21"/>
              </w:rPr>
            </w:pPr>
            <w:r w:rsidRPr="00610C35">
              <w:rPr>
                <w:rFonts w:ascii="Palatino Linotype" w:hAnsi="Palatino Linotype"/>
                <w:sz w:val="21"/>
                <w:szCs w:val="21"/>
              </w:rPr>
              <w:t>Regulations  3(a),  (b),  (c),  (d),  4(1), 4(2)(a)  &amp;  4(2)(e)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27A2" w:rsidRPr="00610C35" w:rsidRDefault="004127A2" w:rsidP="004127A2">
            <w:pPr>
              <w:jc w:val="right"/>
              <w:rPr>
                <w:rFonts w:ascii="Palatino Linotype" w:eastAsia="Calibri" w:hAnsi="Palatino Linotype" w:cs="Mangal"/>
                <w:sz w:val="21"/>
                <w:szCs w:val="21"/>
              </w:rPr>
            </w:pPr>
            <w:r w:rsidRPr="00610C35">
              <w:rPr>
                <w:rFonts w:ascii="Palatino Linotype" w:hAnsi="Palatino Linotype"/>
                <w:sz w:val="21"/>
                <w:szCs w:val="21"/>
              </w:rPr>
              <w:t>-</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13</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19/07/2021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Beejay  Investments  and  Financial  Consultants  Private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Beejay  Investments  and  Financial  Consultants  Private Limited and 19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 xml:space="preserve">Violation of directions issued vide SEBI order dated Jan 19, 2010 and Jan 25, 2010. </w:t>
            </w:r>
          </w:p>
          <w:p w:rsidR="00610C35" w:rsidRPr="00610C35" w:rsidRDefault="00610C35" w:rsidP="00610C35">
            <w:pPr>
              <w:shd w:val="clear" w:color="auto" w:fill="FFFFFF"/>
              <w:jc w:val="both"/>
              <w:rPr>
                <w:rFonts w:ascii="Palatino Linotype" w:eastAsia="Calibri" w:hAnsi="Palatino Linotype" w:cs="Mangal"/>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cs="Mangal"/>
                <w:sz w:val="21"/>
                <w:szCs w:val="21"/>
              </w:rPr>
            </w:pPr>
            <w:r w:rsidRPr="00610C35">
              <w:rPr>
                <w:rFonts w:ascii="Palatino Linotype" w:hAnsi="Palatino Linotype"/>
                <w:sz w:val="21"/>
                <w:szCs w:val="21"/>
              </w:rPr>
              <w:t>-</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14</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22/07/2021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Aqua LogisticsLimited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cs="Mangal"/>
                <w:sz w:val="21"/>
                <w:szCs w:val="21"/>
              </w:rPr>
            </w:pPr>
            <w:r w:rsidRPr="00610C35">
              <w:rPr>
                <w:rFonts w:ascii="Palatino Linotype" w:hAnsi="Palatino Linotype"/>
                <w:sz w:val="21"/>
                <w:szCs w:val="21"/>
              </w:rPr>
              <w:t>Aqua Logistics Limited and 11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eastAsia="Calibri" w:hAnsi="Palatino Linotype" w:cs="Mangal"/>
                <w:sz w:val="21"/>
                <w:szCs w:val="21"/>
              </w:rPr>
            </w:pPr>
            <w:r w:rsidRPr="00610C35">
              <w:rPr>
                <w:rFonts w:ascii="Palatino Linotype" w:hAnsi="Palatino Linotype"/>
                <w:sz w:val="21"/>
                <w:szCs w:val="21"/>
              </w:rPr>
              <w:t>SEBI  Act,  1992,    Regulation  3(b) and  4(1) of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cs="Mangal"/>
                <w:sz w:val="21"/>
                <w:szCs w:val="21"/>
              </w:rPr>
            </w:pPr>
            <w:r w:rsidRPr="00610C35">
              <w:rPr>
                <w:rFonts w:ascii="Palatino Linotype" w:hAnsi="Palatino Linotype"/>
                <w:sz w:val="21"/>
                <w:szCs w:val="21"/>
              </w:rPr>
              <w:t>-</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15</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27/07/2021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Trade India Research</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11B</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Trade India Research (Proprietor Neha Gupta), Anurag Rajawat, Anand Siddh, Sonam Jariya, Vaishali Raghuwanshi, Mangal Kumar Rathore</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Provisions  of,  SEBI  Act  1992,  IA Regulations and PFUTP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16</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05/07/2021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ICL Multitrading India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 xml:space="preserve">ICL Multitrading India Ltd, R.K. Gola.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eastAsia="Calibri" w:hAnsi="Palatino Linotype" w:cs="Mangal"/>
                <w:sz w:val="21"/>
                <w:szCs w:val="21"/>
                <w:lang w:bidi="hi-IN"/>
              </w:rPr>
              <w:t>Regulations 57(1) and Clause 2(XVI) (B) (2) of Part A of Schedule VIII read with Regulation 57 (2)(a) of SEBI  (Issue  of  Capital  and  Disclosures  Requirements), Regulations, 2009.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eastAsia="Calibri" w:hAnsi="Palatino Linotype" w:cs="Mangal"/>
                <w:sz w:val="21"/>
                <w:szCs w:val="21"/>
                <w:lang w:bidi="hi-IN"/>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17</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06/07/2021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Timbor Home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eastAsia="Calibri" w:hAnsi="Palatino Linotype" w:cs="Mangal"/>
                <w:sz w:val="21"/>
                <w:szCs w:val="21"/>
                <w:lang w:bidi="hi-IN"/>
              </w:rPr>
              <w:t xml:space="preserve">Anant Sureshchandra Maloo and 18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jc w:val="both"/>
              <w:rPr>
                <w:rFonts w:ascii="Palatino Linotype" w:eastAsia="Calibri" w:hAnsi="Palatino Linotype" w:cs="Mangal"/>
                <w:sz w:val="21"/>
                <w:szCs w:val="21"/>
                <w:lang w:bidi="hi-IN"/>
              </w:rPr>
            </w:pPr>
            <w:r w:rsidRPr="00610C35">
              <w:rPr>
                <w:rFonts w:ascii="Palatino Linotype" w:eastAsia="Calibri" w:hAnsi="Palatino Linotype" w:cs="Mangal"/>
                <w:sz w:val="21"/>
                <w:szCs w:val="21"/>
                <w:lang w:bidi="hi-IN"/>
              </w:rPr>
              <w:t>Section  2(i)  of SCRA, 1956 read  with  Section  16,  Section  13,  Section  18  of  SCRA,  1956,, read  with  SEBI Notification  No.  LAD-NRO/GN/2013-14/26/6667 dated  October  03,  2013.</w:t>
            </w:r>
          </w:p>
          <w:p w:rsidR="00610C35" w:rsidRPr="00610C35" w:rsidRDefault="00610C35" w:rsidP="00610C35">
            <w:pPr>
              <w:jc w:val="both"/>
              <w:rPr>
                <w:rFonts w:ascii="Palatino Linotype" w:eastAsia="Calibri" w:hAnsi="Palatino Linotype" w:cs="Mangal"/>
                <w:sz w:val="21"/>
                <w:szCs w:val="21"/>
                <w:lang w:bidi="hi-IN"/>
              </w:rPr>
            </w:pPr>
          </w:p>
          <w:p w:rsidR="00610C35" w:rsidRPr="00610C35" w:rsidRDefault="00610C35" w:rsidP="00610C35">
            <w:pPr>
              <w:jc w:val="both"/>
              <w:rPr>
                <w:rFonts w:ascii="Palatino Linotype" w:eastAsia="Calibri" w:hAnsi="Palatino Linotype" w:cs="Mangal"/>
                <w:sz w:val="21"/>
                <w:szCs w:val="21"/>
                <w:lang w:bidi="hi-IN"/>
              </w:rPr>
            </w:pPr>
            <w:r w:rsidRPr="00610C35">
              <w:rPr>
                <w:rFonts w:ascii="Palatino Linotype" w:eastAsia="Calibri" w:hAnsi="Palatino Linotype" w:cs="Mangal"/>
                <w:sz w:val="21"/>
                <w:szCs w:val="21"/>
                <w:lang w:bidi="hi-IN"/>
              </w:rPr>
              <w:t>Section 11C (3) read with Section 11(2) and 11(3) of the SEBI Act, 1992</w:t>
            </w:r>
          </w:p>
          <w:p w:rsidR="00610C35" w:rsidRPr="00610C35" w:rsidRDefault="00610C35" w:rsidP="00610C35">
            <w:pPr>
              <w:shd w:val="clear" w:color="auto" w:fill="FFFFFF"/>
              <w:jc w:val="both"/>
              <w:rPr>
                <w:rFonts w:ascii="Palatino Linotype" w:hAnsi="Palatino Linotype"/>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eastAsia="Calibri" w:hAnsi="Palatino Linotype" w:cs="Mangal"/>
                <w:sz w:val="21"/>
                <w:szCs w:val="21"/>
                <w:lang w:bidi="hi-IN"/>
              </w:rPr>
              <w:t>22,85,000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18</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13/07/2021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Radford Global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 xml:space="preserve">Nishit Agarwal Beneficiary Trust and 16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Sections 12(a), (b) and (c) of the SEBI Act, 1992 read with Regulations 3(a), (b), (c), (d) and  4(1),  4(2)  (a)  and  (e)  of the    PFUTP    Regulations, 2003 SEBI  (Prohibition  of  Fraudulent  and  Unfair  Trade Practices)  Regulations,  2003, Regulation  29(1)  read  with 29(3)  of  SEBI  (Substantial  Acquisition  of  Shares  and  Takeovers)  Regulations,  2011,   Regulation   13(1)   of SEBI (Prohibition of Insider Trading)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7,00,000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19</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14/07/2021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Non filing/ delayed filing of financial results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RMZ Infotech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52 (1) of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20</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14/07/2021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Non filing/ delayed filing of financial results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RMZ Ecoworld Infrastructure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52(1) of LODR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21</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14/07/2021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Dealings in Illiquid Stock Options at the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Nakamichi Securities Private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4 of  the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5,00,000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22</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14/07/2021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Non filing/ delayed filing of financial results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Karnataka Neeravari Nigam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52(1) of LODR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23</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IPO  of  Tijaria  Polypipes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Jivraj Bachubhai Zala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12A of SEBI Act, 1992 and Regulations 3(a), (b), (c) &amp; (d), 4 (1), 4(2)(a), 4(2)(b), 4(2)(e) of SEBI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24</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15/07/2021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Mysore Paper Mills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Raju Bhandari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29(1) read with 29(3) of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25</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15/07/2021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Dealings  in  Illiquid  Stock  Options  at the Bombay Stock Exchange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DMS Securities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eastAsia="Calibri" w:hAnsi="Palatino Linotype"/>
                <w:sz w:val="21"/>
                <w:szCs w:val="21"/>
                <w:lang w:val="en-IN"/>
              </w:rPr>
            </w:pPr>
            <w:r w:rsidRPr="00610C35">
              <w:rPr>
                <w:rFonts w:ascii="Palatino Linotype" w:hAnsi="Palatino Linotype"/>
                <w:sz w:val="21"/>
                <w:szCs w:val="21"/>
              </w:rPr>
              <w:t>Regulations 3 (a), (b), (c), (d) and 4(1), 4(2) (a)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sz w:val="21"/>
                <w:szCs w:val="21"/>
                <w:lang w:val="en-IN"/>
              </w:rPr>
            </w:pPr>
            <w:r w:rsidRPr="00610C35">
              <w:rPr>
                <w:rFonts w:ascii="Palatino Linotype" w:hAnsi="Palatino Linotype"/>
                <w:sz w:val="21"/>
                <w:szCs w:val="21"/>
              </w:rPr>
              <w:t>5,00,000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26</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19/07/2021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Geodesic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Prashant Mulekar, Jayashree Mulekar, Paramodini Mulekar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eastAsia="Calibri" w:hAnsi="Palatino Linotype"/>
                <w:sz w:val="21"/>
                <w:szCs w:val="21"/>
                <w:lang w:val="en-IN"/>
              </w:rPr>
            </w:pPr>
            <w:r w:rsidRPr="00610C35">
              <w:rPr>
                <w:rFonts w:ascii="Palatino Linotype" w:hAnsi="Palatino Linotype"/>
                <w:sz w:val="21"/>
                <w:szCs w:val="21"/>
              </w:rPr>
              <w:t>Regulations 31(1) and 31(2) of SEBI (Substantial Acquisition of Shares and Takeovers) Regulation, 2011, Regulations 13(4) and 13(4A) of SEBI (Prohibition  of  Insider  Trading)  Regulations,  1992 read with Regulation 12(2) of PIT Regulations, 2015, Regulation 29(2) of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sz w:val="21"/>
                <w:szCs w:val="21"/>
                <w:lang w:val="en-IN"/>
              </w:rPr>
            </w:pPr>
            <w:r w:rsidRPr="00610C35">
              <w:rPr>
                <w:rFonts w:ascii="Palatino Linotype" w:hAnsi="Palatino Linotype"/>
                <w:sz w:val="21"/>
                <w:szCs w:val="21"/>
              </w:rPr>
              <w:t>7,00,000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27</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20/07/2021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Preferential issue of shares of Dwitiya Trading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Dwitiya Trading Limited, Gangadhar Sil, Manish Jani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eastAsia="Calibri" w:hAnsi="Palatino Linotype"/>
                <w:sz w:val="21"/>
                <w:szCs w:val="21"/>
                <w:lang w:val="en-IN"/>
              </w:rPr>
            </w:pPr>
            <w:r w:rsidRPr="00610C35">
              <w:rPr>
                <w:rFonts w:ascii="Palatino Linotype" w:hAnsi="Palatino Linotype"/>
                <w:sz w:val="21"/>
                <w:szCs w:val="21"/>
              </w:rPr>
              <w:t xml:space="preserve">Regulations  3  (a),  (b),  (c),  (d), 4(1),  4(2)(f),  (k)  and  (r)  of   SEBI  (Prohibition  of  Fraudulent and  Unfair  Trade  </w:t>
            </w:r>
            <w:r w:rsidRPr="00610C35">
              <w:rPr>
                <w:rFonts w:ascii="Palatino Linotype" w:hAnsi="Palatino Linotype"/>
                <w:sz w:val="21"/>
                <w:szCs w:val="21"/>
              </w:rPr>
              <w:lastRenderedPageBreak/>
              <w:t>Practices  Relating  to  Securities  Market)  Regulations,  2003 and clause 43 of the listing agreement read with regulation 32 of the SEBI Listing Obligations and Disclosure Requirements,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sz w:val="21"/>
                <w:szCs w:val="21"/>
                <w:lang w:val="en-IN"/>
              </w:rPr>
            </w:pPr>
            <w:r w:rsidRPr="00610C35">
              <w:rPr>
                <w:rFonts w:ascii="Palatino Linotype" w:hAnsi="Palatino Linotype"/>
                <w:sz w:val="21"/>
                <w:szCs w:val="21"/>
              </w:rPr>
              <w:lastRenderedPageBreak/>
              <w:t>40,00,000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28</w:t>
            </w:r>
          </w:p>
        </w:tc>
        <w:tc>
          <w:tcPr>
            <w:tcW w:w="1276" w:type="dxa"/>
            <w:tcBorders>
              <w:top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23/07/2021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Jaybharat Textiles and Real Estate Ltd.&amp; KS Land Industries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Saurabh Kumar Tayal and 57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10C35" w:rsidRPr="00610C35" w:rsidRDefault="00610C35" w:rsidP="00610C35">
            <w:pPr>
              <w:shd w:val="clear" w:color="auto" w:fill="FFFFFF"/>
              <w:jc w:val="both"/>
              <w:rPr>
                <w:rFonts w:ascii="Palatino Linotype" w:eastAsia="Calibri" w:hAnsi="Palatino Linotype"/>
                <w:sz w:val="21"/>
                <w:szCs w:val="21"/>
                <w:lang w:val="en-IN"/>
              </w:rPr>
            </w:pPr>
            <w:r w:rsidRPr="00610C35">
              <w:rPr>
                <w:rFonts w:ascii="Palatino Linotype" w:hAnsi="Palatino Linotype"/>
                <w:sz w:val="21"/>
                <w:szCs w:val="21"/>
              </w:rPr>
              <w:t>Regulation 3(b), (c), (d) and (f) and Regulation 4(1), (2) (d), (e) and (r)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10C35" w:rsidRPr="00610C35" w:rsidRDefault="00610C35" w:rsidP="00610C35">
            <w:pPr>
              <w:jc w:val="right"/>
              <w:rPr>
                <w:rFonts w:ascii="Palatino Linotype" w:eastAsia="Calibri" w:hAnsi="Palatino Linotype"/>
                <w:sz w:val="21"/>
                <w:szCs w:val="21"/>
                <w:lang w:val="en-IN"/>
              </w:rPr>
            </w:pPr>
            <w:r w:rsidRPr="00610C35">
              <w:rPr>
                <w:rFonts w:ascii="Palatino Linotype" w:hAnsi="Palatino Linotype"/>
                <w:sz w:val="21"/>
                <w:szCs w:val="21"/>
              </w:rPr>
              <w:t>35,00,000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29</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26/07/2021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Ruchi Soya Industries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eastAsia="Calibri" w:hAnsi="Palatino Linotype"/>
                <w:sz w:val="21"/>
                <w:szCs w:val="21"/>
                <w:lang w:val="en-IN"/>
              </w:rPr>
            </w:pPr>
            <w:r w:rsidRPr="00610C35">
              <w:rPr>
                <w:rFonts w:ascii="Palatino Linotype" w:hAnsi="Palatino Linotype"/>
                <w:sz w:val="21"/>
                <w:szCs w:val="21"/>
              </w:rPr>
              <w:t>B P Equities Pvt., Ltd, Shaunak Jagdish Shah, Jamson Securities Pvt., Ltd.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Sections 12A (a), (b), (c) of SEBI Act,  1992  read with  regulations  3  (a),  (b),  (c),  (d)  and  4  (1),  4  (2)  (a)  and  (g)  of  SEBI  (Prohibition  of  Fraudulent  and  Unfair Trade  Practices  relating  to  Securities  Market)  Regulations,  2003</w:t>
            </w:r>
          </w:p>
          <w:p w:rsidR="00610C35" w:rsidRPr="00610C35" w:rsidRDefault="00610C35" w:rsidP="00610C35">
            <w:pPr>
              <w:jc w:val="both"/>
              <w:rPr>
                <w:rFonts w:ascii="Palatino Linotype" w:hAnsi="Palatino Linotype"/>
                <w:sz w:val="21"/>
                <w:szCs w:val="21"/>
              </w:rPr>
            </w:pPr>
          </w:p>
          <w:p w:rsidR="00610C35" w:rsidRPr="00610C35" w:rsidRDefault="00610C35" w:rsidP="00610C35">
            <w:pPr>
              <w:shd w:val="clear" w:color="auto" w:fill="FFFFFF"/>
              <w:jc w:val="both"/>
              <w:rPr>
                <w:rFonts w:ascii="Palatino Linotype" w:eastAsia="Calibri" w:hAnsi="Palatino Linotype"/>
                <w:sz w:val="21"/>
                <w:szCs w:val="21"/>
                <w:lang w:val="en-IN"/>
              </w:rPr>
            </w:pPr>
            <w:r w:rsidRPr="00610C35">
              <w:rPr>
                <w:rFonts w:ascii="Palatino Linotype" w:hAnsi="Palatino Linotype"/>
                <w:sz w:val="21"/>
                <w:szCs w:val="21"/>
              </w:rPr>
              <w:t>Regulation 9(f) of  the SEBI  (Stock Brokers)Regulations, 1992</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eastAsia="Calibri" w:hAnsi="Palatino Linotype"/>
                <w:sz w:val="21"/>
                <w:szCs w:val="21"/>
                <w:lang w:val="en-IN"/>
              </w:rPr>
            </w:pPr>
            <w:r w:rsidRPr="00610C35">
              <w:rPr>
                <w:rFonts w:ascii="Palatino Linotype" w:hAnsi="Palatino Linotype"/>
                <w:sz w:val="21"/>
                <w:szCs w:val="21"/>
              </w:rPr>
              <w:t>40,00,000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30</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27/07/2021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Geodesic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 xml:space="preserve">Pankaj Kumar, Prashant Mulekar, Kiran Kulkarni. </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Section 12A(a),(b),(c) of the SEBI Act and Regulations 3(a),(b),(c),(d),  4(1) &amp;  4(2)(e),  (f),(k),(r) of the PFUTP Regulations,</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 xml:space="preserve">Clause 2.1 &amp; 7(ii)  of Schedule II     read with Regulation 12(2)of PIT Regulations, 1992 read with Regulation  </w:t>
            </w:r>
            <w:r w:rsidRPr="00610C35">
              <w:rPr>
                <w:rFonts w:ascii="Palatino Linotype" w:hAnsi="Palatino Linotype"/>
                <w:sz w:val="21"/>
                <w:szCs w:val="21"/>
              </w:rPr>
              <w:lastRenderedPageBreak/>
              <w:t>12(2)  of PIT Regulations, 2015</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Clause I .2 and  4.2  of Model Code of Conduct     read     with Regulations 12(1) and 12(3) of PIT Regulations, 1992 read  with  Regulation 12(2) of SEBI (Prohibition of Insider Trading) Regulations, 2015</w:t>
            </w:r>
          </w:p>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Clauses  36  and  49  of Listing Agreement read  with  section  21 of SEBI Securities Contracts (Regulation) Act, 1956</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lastRenderedPageBreak/>
              <w:t>11,00,000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31</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27/07/2021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Crown ToursLtd.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Ranjith Soman, Veena Ranjith</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29(1),  29(2)read  with  29(3)  of  Takeover Regulations, 2011</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32</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28/07/2021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Regaliaa Realty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Karvy Financial Services Ltd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3(1) and 4 read with  Regulations  13,  14,  15,  16,  17  and  18  of SEBI  (SAST)  Regulations,  2011</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33</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28/07/2021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Palred Technologies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Karna Ramanjula Reddy</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3(i)  and  3(ii)  of PIT Regulations,  1992  and  Section  12A(d)  and  12A(e)  of  SEBI  Act,  1992read  with Regulation  12  of  PIT  Regulations,  2015</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34</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28/07/2021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Viaan Industries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Ripu Sudan Kundra, Shilpa Shetty Kundra, Viaan Industries Ltd.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7 (2) (a) and (b) of PIT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35</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28/07/2021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Dealing in Illiquid Options on the BSE</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L M Tradecom Private Ltd.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3(a), 4(1), 4(2)(a)  of  the  PFUTP  Regulations, 2003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18,00,000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36</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Dealing in Illiquid Options on the BSE</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J B Overseas</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3(a), 4(1), 4(2)(a)  of  the  PFUTP  Regulations, 2003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37</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Inspection of Kaynet Finance Limited (KFL) -a stock Broker</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Kaynet Finance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Section 23-D of SCRA, 1956, read with clause    2    of    Annexure    of    SEBI    Circular SMD/SED/CIR/93/23321 dated November 18, 1993.</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violation  of  Clause  12  of  Annexure  of  SEBI  Circular SEBI/MIRSD/SE/Cir-19/2009  dated  December  03,  2009  and  Clause  6.3  under Schedule  III  of  code  of  conduct  read  with  Regulation  16  of  SEBI,  Intermediaries Regulation, 2008.</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Clause A(5) of Schedule II read with Regulation 9(f) of SEBI (Stock Brokers) Regulations, 1992.</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Various clauses of Annexure   of   SEBI   Circular SEBI/HO/MIRSD/ MIRSD2/CIR/P/2016/95 dated September 26, 2016</w:t>
            </w:r>
          </w:p>
          <w:p w:rsidR="00610C35" w:rsidRPr="00610C35" w:rsidRDefault="00610C35" w:rsidP="00610C35">
            <w:pPr>
              <w:jc w:val="both"/>
              <w:rPr>
                <w:rFonts w:ascii="Palatino Linotype" w:hAnsi="Palatino Linotype"/>
                <w:sz w:val="21"/>
                <w:szCs w:val="21"/>
              </w:rPr>
            </w:pPr>
          </w:p>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Clauses A(2) and A(5) of the code of conduct specified under  Schedule  II,  read  with  Regulation  9(f)  of  the SEBI  (Stock  Brokers) Regulations, 1992</w:t>
            </w:r>
          </w:p>
          <w:p w:rsidR="00610C35" w:rsidRPr="00610C35" w:rsidRDefault="00610C35" w:rsidP="00610C35">
            <w:pPr>
              <w:jc w:val="both"/>
              <w:rPr>
                <w:rFonts w:ascii="Palatino Linotype" w:hAnsi="Palatino Linotype"/>
                <w:sz w:val="21"/>
                <w:szCs w:val="21"/>
              </w:rPr>
            </w:pPr>
          </w:p>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lastRenderedPageBreak/>
              <w:t>Regulation 3(2) of SEBI (Certification of associated  persons  in the  Securities  Markets)  Regulations,  2007</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lastRenderedPageBreak/>
              <w:t>50,00,000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38</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ABT Investments (India) Private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ABT Investments (India) Private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Regulations 7(3), 6(1), 51, 52(1) and 52(4) of SEBI LODR (Listing Obligations and Disclosure Requirements) Regulations, 2015.</w:t>
            </w:r>
          </w:p>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6(1),   58   and   62   of   LODR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39</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Supreme Tex MartLimited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Mohsin</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11C(2)  read with  Section  11C(3) of  the  SEBI Act,  1992</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40</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Excel Stock Broking Private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Excel Stock Broking Private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Provisions of Point 2(a) of Chapter  V  of  NSE  bye-laws  read  with  Clause  A(2)  and  Clause  A(5)  of  the  Code  of  Conduct specified under Schedule II read with regulation 9(f) of the Broker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41</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Excel Stock Broking Private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Anil Kedia, Nagendra Yadav</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11 C(2) of  the  SEBI  Act and Notices amended Section 15A (a) of the SEBI Act</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42</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29/07/2021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Delta Leasing &amp; Finance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Aanchal Jindal, Vipin Gupta HUF, Vishakha Gupta</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Under Section 23H of SC(R)A -  Section  13,  16,  18  of SC(R)A read with SEBI Notification  G.S.R.  219(E)  dated March     2,     2000     and     SEBI Notification No. LAD- NRO/GN/2013-14/26/6667  dated October 3, 2013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43</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 xml:space="preserve">Transmission Corporation of </w:t>
            </w:r>
            <w:r w:rsidRPr="00610C35">
              <w:rPr>
                <w:rFonts w:ascii="Palatino Linotype" w:hAnsi="Palatino Linotype"/>
                <w:sz w:val="21"/>
                <w:szCs w:val="21"/>
              </w:rPr>
              <w:lastRenderedPageBreak/>
              <w:t>Andhra Pradesh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lastRenderedPageBreak/>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Transmission Corporation of Telangana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LODR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44</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Pyramid Saimira Theatre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 Mugunthan</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Clause  13.5.1  (a)  and  Clause  13.5.1  (b)  of  DIP Guide lines read  with Regulation  73(2)  of  SEBI ICDR Regulations, 2009..</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45</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Pyramid Saimira Theatre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Ankit Girishkumar Vasani</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12Aof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46</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Pyramid Saimira Theatre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Darshan Desai</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12Aof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47</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Pyramid Saimira Theatre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Amit Navin Chandra Joshi</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Section 12Aof SEBI Act and Regulation 3(a), 3(b), 3(c), 3(d), 4(1), 4(2)(a), 4(2)(b)and 4(2)(e) of PFUTP Regulations, 2003</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48</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b/>
                <w:bCs/>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Transmission Corporation of Andhra Pradesh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Transmission Corporation of Andhra Pradesh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LODR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49</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Ritesh International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Rajiv Arora, Anita Arora, Ritesh Arora, Rijul Arora, Roopica Arora, Bharti Bhushan Jindal, Rajiv Arora –HUF, Sakshi Arora</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Regulations  10(5)  and  10(6)  of  SAST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3,00,000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50</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Delta Leasing &amp; Finance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Subodh Kumar Khandelwal</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13(4A)  and  13(5)(b)  of the PIT Regulations, 1992 read with regulation 12 of the PIT Regulations, 2015</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lastRenderedPageBreak/>
              <w:t>51</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Delta Leasing &amp; Finance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Seema Khandelwa</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13(4A)  and  13(5)(b)  of the PIT Regulations, 1992 read with regulation 12 of the PIT Regulations, 2015</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52</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Delta Leasing &amp; Finance Ltd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Pradeep Kumar Jindal &amp; Sons HUF</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13(4A)  and  13(5)(b)  of the PIT Regulations, 1992 read with regulation 12 of the PIT Regulations, 2015</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1,00,000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53</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Dealing in Illiquid Stock Options on theBSE</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Leaps  &amp;  Bounds  Pvt  Ltd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3 (a), 4(1)and 4(2)(a)of PFUTP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7,00,000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54</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Dealing in Illiquid Stock Options on the BSE</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Jai Siyaram Commodity Private Limited</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3 (a), 4(1)and 4(2)(a)of PFUTP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25,00,000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55</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Tilak Finance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Tilak Finance  Ltd.  (now  Tilak  Ventures  Ltd.), and 17 others</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3 (a), (b), (c), (d) and4(1) of PFUTP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70,00,000</w:t>
            </w:r>
          </w:p>
        </w:tc>
      </w:tr>
      <w:tr w:rsidR="00610C35" w:rsidRPr="00B83873" w:rsidTr="00610C35">
        <w:trPr>
          <w:trHeight w:val="300"/>
        </w:trPr>
        <w:tc>
          <w:tcPr>
            <w:tcW w:w="567"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jc w:val="both"/>
              <w:rPr>
                <w:rFonts w:ascii="Palatino Linotype" w:hAnsi="Palatino Linotype"/>
                <w:color w:val="000000"/>
                <w:sz w:val="21"/>
                <w:szCs w:val="21"/>
                <w:lang w:val="en-IN" w:eastAsia="en-IN" w:bidi="hi-IN"/>
              </w:rPr>
            </w:pPr>
            <w:r w:rsidRPr="00610C35">
              <w:rPr>
                <w:rFonts w:ascii="Palatino Linotype" w:hAnsi="Palatino Linotype"/>
                <w:color w:val="000000"/>
                <w:sz w:val="21"/>
                <w:szCs w:val="21"/>
                <w:lang w:val="en-IN" w:eastAsia="en-IN" w:bidi="hi-IN"/>
              </w:rPr>
              <w:t>56</w:t>
            </w:r>
          </w:p>
        </w:tc>
        <w:tc>
          <w:tcPr>
            <w:tcW w:w="127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30/07/2021</w:t>
            </w:r>
          </w:p>
        </w:tc>
        <w:tc>
          <w:tcPr>
            <w:tcW w:w="2127"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Ram Minerals and Chemicals Limited</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Adjudication</w:t>
            </w:r>
          </w:p>
        </w:tc>
        <w:tc>
          <w:tcPr>
            <w:tcW w:w="2126"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both"/>
              <w:rPr>
                <w:rFonts w:ascii="Palatino Linotype" w:hAnsi="Palatino Linotype"/>
                <w:sz w:val="21"/>
                <w:szCs w:val="21"/>
              </w:rPr>
            </w:pPr>
            <w:r w:rsidRPr="00610C35">
              <w:rPr>
                <w:rFonts w:ascii="Palatino Linotype" w:hAnsi="Palatino Linotype"/>
                <w:sz w:val="21"/>
                <w:szCs w:val="21"/>
              </w:rPr>
              <w:t xml:space="preserve">Dhirajbhai  Baladevji Thakor, Pinesh   Naresh kumar   Shah, Rakesh Champakbhai  Patel, Bhagavatiben  Vishnubhai  Patel, Vinod Solanki, Jasmin Indu Shah, Ramanlal Ravchand Shah, Babulal Hansraj Lakhani, Mahendrabhai   Naranbhai   Patel.  </w:t>
            </w:r>
          </w:p>
        </w:tc>
        <w:tc>
          <w:tcPr>
            <w:tcW w:w="2268" w:type="dxa"/>
            <w:tcBorders>
              <w:top w:val="single" w:sz="4" w:space="0" w:color="auto"/>
              <w:left w:val="single" w:sz="4" w:space="0" w:color="auto"/>
              <w:bottom w:val="single" w:sz="4" w:space="0" w:color="auto"/>
              <w:right w:val="single" w:sz="4" w:space="0" w:color="auto"/>
            </w:tcBorders>
          </w:tcPr>
          <w:p w:rsidR="00610C35" w:rsidRPr="00610C35" w:rsidRDefault="00610C35" w:rsidP="00610C35">
            <w:pPr>
              <w:shd w:val="clear" w:color="auto" w:fill="FFFFFF"/>
              <w:jc w:val="both"/>
              <w:rPr>
                <w:rFonts w:ascii="Palatino Linotype" w:hAnsi="Palatino Linotype"/>
                <w:sz w:val="21"/>
                <w:szCs w:val="21"/>
              </w:rPr>
            </w:pPr>
            <w:r w:rsidRPr="00610C35">
              <w:rPr>
                <w:rFonts w:ascii="Palatino Linotype" w:hAnsi="Palatino Linotype"/>
                <w:sz w:val="21"/>
                <w:szCs w:val="21"/>
              </w:rPr>
              <w:t>Regulation   3(a),(b),(c),(d)   and4(1)and   4(2)(a)of   PFUTP Regulations.</w:t>
            </w:r>
          </w:p>
        </w:tc>
        <w:tc>
          <w:tcPr>
            <w:tcW w:w="1559" w:type="dxa"/>
            <w:tcBorders>
              <w:top w:val="single" w:sz="4" w:space="0" w:color="auto"/>
              <w:left w:val="single" w:sz="4" w:space="0" w:color="auto"/>
              <w:bottom w:val="single" w:sz="4" w:space="0" w:color="auto"/>
              <w:right w:val="single" w:sz="4" w:space="0" w:color="auto"/>
            </w:tcBorders>
            <w:noWrap/>
          </w:tcPr>
          <w:p w:rsidR="00610C35" w:rsidRPr="00610C35" w:rsidRDefault="00610C35" w:rsidP="00610C35">
            <w:pPr>
              <w:jc w:val="right"/>
              <w:rPr>
                <w:rFonts w:ascii="Palatino Linotype" w:hAnsi="Palatino Linotype"/>
                <w:sz w:val="21"/>
                <w:szCs w:val="21"/>
              </w:rPr>
            </w:pPr>
            <w:r w:rsidRPr="00610C35">
              <w:rPr>
                <w:rFonts w:ascii="Palatino Linotype" w:hAnsi="Palatino Linotype"/>
                <w:sz w:val="21"/>
                <w:szCs w:val="21"/>
              </w:rPr>
              <w:t>50,00,000</w:t>
            </w:r>
          </w:p>
        </w:tc>
      </w:tr>
    </w:tbl>
    <w:p w:rsidR="00272724" w:rsidRDefault="00272724" w:rsidP="00272724">
      <w:pPr>
        <w:pStyle w:val="ListParagraph"/>
        <w:rPr>
          <w:rFonts w:ascii="Garamond" w:hAnsi="Garamond"/>
          <w:sz w:val="24"/>
          <w:szCs w:val="24"/>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 xml:space="preserve">Disclaimer: </w:t>
      </w:r>
      <w:r w:rsidR="00D22F0B">
        <w:rPr>
          <w:rFonts w:ascii="Garamond" w:hAnsi="Garamond" w:cs="Arial"/>
          <w:i/>
          <w:szCs w:val="32"/>
        </w:rPr>
        <w:t xml:space="preserve">Regulatory actions consist of orders passed by Whole Time Member/Adjudication Officer.  Please refer SEBI website for exhaustive list.  </w:t>
      </w:r>
      <w:r>
        <w:rPr>
          <w:rFonts w:ascii="Garamond" w:hAnsi="Garamond" w:cs="Arial"/>
          <w:i/>
          <w:szCs w:val="32"/>
        </w:rPr>
        <w:t>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51"/>
      <w:headerReference w:type="default" r:id="rId52"/>
      <w:footerReference w:type="even" r:id="rId53"/>
      <w:footerReference w:type="default" r:id="rId54"/>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BBE" w:rsidRDefault="00884BBE" w:rsidP="00E07645">
      <w:r>
        <w:separator/>
      </w:r>
    </w:p>
  </w:endnote>
  <w:endnote w:type="continuationSeparator" w:id="0">
    <w:p w:rsidR="00884BBE" w:rsidRDefault="00884BBE"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Rupe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pPr>
      <w:pStyle w:val="Footer"/>
    </w:pPr>
  </w:p>
  <w:p w:rsidR="00E877E5" w:rsidRDefault="00E877E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rsidP="00D73337">
    <w:pPr>
      <w:pStyle w:val="Footer"/>
      <w:pBdr>
        <w:top w:val="single" w:sz="4" w:space="1" w:color="D9D9D9"/>
      </w:pBdr>
      <w:jc w:val="right"/>
    </w:pPr>
    <w:r>
      <w:fldChar w:fldCharType="begin"/>
    </w:r>
    <w:r>
      <w:instrText xml:space="preserve"> PAGE   \* MERGEFORMAT </w:instrText>
    </w:r>
    <w:r>
      <w:fldChar w:fldCharType="separate"/>
    </w:r>
    <w:r w:rsidR="00D35D87">
      <w:rPr>
        <w:noProof/>
      </w:rPr>
      <w:t>1</w:t>
    </w:r>
    <w:r>
      <w:rPr>
        <w:noProof/>
      </w:rPr>
      <w:fldChar w:fldCharType="end"/>
    </w:r>
    <w:r>
      <w:t xml:space="preserve"> | </w:t>
    </w:r>
    <w:r w:rsidRPr="00601592">
      <w:rPr>
        <w:color w:val="7F7F7F"/>
        <w:spacing w:val="60"/>
      </w:rPr>
      <w:t>Page</w:t>
    </w:r>
  </w:p>
  <w:p w:rsidR="00E877E5" w:rsidRDefault="00E877E5">
    <w:pPr>
      <w:pStyle w:val="Footer"/>
    </w:pPr>
  </w:p>
  <w:p w:rsidR="00E877E5" w:rsidRDefault="00E877E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pPr>
      <w:pStyle w:val="Footer"/>
    </w:pPr>
  </w:p>
  <w:p w:rsidR="00E877E5" w:rsidRDefault="00E877E5"/>
  <w:p w:rsidR="00E877E5" w:rsidRDefault="00E877E5"/>
  <w:p w:rsidR="00E877E5" w:rsidRDefault="00E877E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E877E5" w:rsidRDefault="00E877E5">
        <w:pPr>
          <w:pStyle w:val="Footer"/>
          <w:pBdr>
            <w:top w:val="single" w:sz="4" w:space="1" w:color="D9D9D9" w:themeColor="background1" w:themeShade="D9"/>
          </w:pBdr>
          <w:jc w:val="right"/>
        </w:pPr>
        <w:r>
          <w:fldChar w:fldCharType="begin"/>
        </w:r>
        <w:r>
          <w:instrText xml:space="preserve"> PAGE   \* MERGEFORMAT </w:instrText>
        </w:r>
        <w:r>
          <w:fldChar w:fldCharType="separate"/>
        </w:r>
        <w:r w:rsidR="00D35D87">
          <w:rPr>
            <w:noProof/>
          </w:rPr>
          <w:t>74</w:t>
        </w:r>
        <w:r>
          <w:rPr>
            <w:noProof/>
          </w:rPr>
          <w:fldChar w:fldCharType="end"/>
        </w:r>
        <w:r>
          <w:t xml:space="preserve"> | </w:t>
        </w:r>
        <w:r>
          <w:rPr>
            <w:color w:val="7F7F7F" w:themeColor="background1" w:themeShade="7F"/>
            <w:spacing w:val="60"/>
          </w:rPr>
          <w:t>Page</w:t>
        </w:r>
      </w:p>
    </w:sdtContent>
  </w:sdt>
  <w:p w:rsidR="00E877E5" w:rsidRDefault="00E877E5">
    <w:pPr>
      <w:pStyle w:val="Footer"/>
    </w:pPr>
  </w:p>
  <w:p w:rsidR="00E877E5" w:rsidRDefault="00E877E5"/>
  <w:p w:rsidR="00E877E5" w:rsidRDefault="00E877E5"/>
  <w:p w:rsidR="00E877E5" w:rsidRDefault="00E877E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BBE" w:rsidRDefault="00884BBE" w:rsidP="00E07645">
      <w:r>
        <w:separator/>
      </w:r>
    </w:p>
  </w:footnote>
  <w:footnote w:type="continuationSeparator" w:id="0">
    <w:p w:rsidR="00884BBE" w:rsidRDefault="00884BBE" w:rsidP="00E07645">
      <w:r>
        <w:continuationSeparator/>
      </w:r>
    </w:p>
  </w:footnote>
  <w:footnote w:id="1">
    <w:p w:rsidR="00E877E5" w:rsidRPr="005B5517" w:rsidRDefault="00E877E5" w:rsidP="00DB7D3F">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E877E5" w:rsidRDefault="00E877E5" w:rsidP="009D5D54">
      <w:pPr>
        <w:pStyle w:val="FootnoteText"/>
        <w:jc w:val="both"/>
      </w:pPr>
      <w:r>
        <w:rPr>
          <w:rStyle w:val="FootnoteReference"/>
        </w:rPr>
        <w:footnoteRef/>
      </w:r>
      <w:r>
        <w:t xml:space="preserve"> Based on data available on World Federation of Exchanges as on 24 August 2021. BSE data from WFE has not been included as BSE is no longer providing data to WFE since June 2019.</w:t>
      </w:r>
    </w:p>
  </w:footnote>
  <w:footnote w:id="3">
    <w:p w:rsidR="00E877E5" w:rsidRDefault="00E877E5" w:rsidP="009D5D54">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4">
    <w:p w:rsidR="00E877E5" w:rsidRDefault="00E877E5" w:rsidP="009D5D54">
      <w:pPr>
        <w:pStyle w:val="FootnoteText"/>
      </w:pPr>
      <w:r>
        <w:rPr>
          <w:rStyle w:val="FootnoteReference"/>
        </w:rPr>
        <w:footnoteRef/>
      </w:r>
      <w:r>
        <w:t xml:space="preserve"> Germany, Spain, USA, UK, Japan, India, China, Brazil and Russia.</w:t>
      </w:r>
    </w:p>
  </w:footnote>
  <w:footnote w:id="5">
    <w:p w:rsidR="00E877E5" w:rsidRDefault="00E877E5" w:rsidP="009D5D54">
      <w:pPr>
        <w:pStyle w:val="FootnoteText"/>
      </w:pPr>
      <w:r>
        <w:rPr>
          <w:rStyle w:val="FootnoteReference"/>
        </w:rPr>
        <w:footnoteRef/>
      </w:r>
      <w:r>
        <w:t xml:space="preserve"> Data available on as on 24 August 2021 on WFE as submitted by exchanges which are members of WFE,</w:t>
      </w:r>
    </w:p>
  </w:footnote>
  <w:footnote w:id="6">
    <w:p w:rsidR="00E877E5" w:rsidRDefault="00E877E5" w:rsidP="009D5D54">
      <w:pPr>
        <w:pStyle w:val="FootnoteText"/>
      </w:pPr>
      <w:r>
        <w:rPr>
          <w:rStyle w:val="FootnoteReference"/>
        </w:rPr>
        <w:footnoteRef/>
      </w:r>
      <w:r>
        <w:t xml:space="preserve"> USA, UK, Germany, France, Japan, Singapore, Hong Kong, China, Russia, India, S. Korea and Australia.</w:t>
      </w:r>
    </w:p>
  </w:footnote>
  <w:footnote w:id="7">
    <w:p w:rsidR="00E877E5" w:rsidRDefault="00E877E5" w:rsidP="009D5D54">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pPr>
      <w:pStyle w:val="Header"/>
    </w:pPr>
  </w:p>
  <w:p w:rsidR="00E877E5" w:rsidRDefault="00E877E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3021E0">
    <w:pPr>
      <w:pStyle w:val="Header"/>
    </w:pPr>
    <w:r>
      <w:rPr>
        <w:noProof/>
      </w:rPr>
      <w:pict w14:anchorId="172F4B31">
        <v:shapetype id="_x0000_t202" coordsize="21600,21600" o:spt="202" path="m,l,21600r21600,l21600,xe">
          <v:stroke joinstyle="miter"/>
          <v:path gradientshapeok="t" o:connecttype="rect"/>
        </v:shapetype>
        <v:shape id="expertsource_watermark" o:spid="_x0000_s2063" type="#_x0000_t202" style="position:absolute;margin-left:0;margin-top:0;width:406.1pt;height:270.7pt;rotation:-45;z-index:2516592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" filled="f" stroked="f">
          <v:stroke joinstyle="round"/>
          <o:lock v:ext="edit" aspectratio="t" shapetype="t"/>
          <v:textbox style="mso-next-textbox:#expertsource_watermark;mso-fit-shape-to-text:t">
            <w:txbxContent>
              <w:p w:rsidR="00E877E5" w:rsidRDefault="00E877E5" w:rsidP="00D73337">
                <w:pPr>
                  <w:pStyle w:val="NormalWeb"/>
                  <w:spacing w:before="0" w:beforeAutospacing="0" w:after="0" w:afterAutospacing="0"/>
                  <w:jc w:val="center"/>
                </w:pPr>
                <w:r w:rsidRPr="00996EC6">
                  <w:rPr>
                    <w:color w:val="C0C0C0"/>
                    <w:sz w:val="2"/>
                    <w:szCs w:val="2"/>
                  </w:rPr>
                  <w:t xml:space="preserve">   </w:t>
                </w:r>
              </w:p>
            </w:txbxContent>
          </v:textbox>
          <w10:wrap anchorx="margin" anchory="margin"/>
        </v:shape>
      </w:pict>
    </w:r>
  </w:p>
  <w:p w:rsidR="00E877E5" w:rsidRDefault="00E877E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pPr>
      <w:pStyle w:val="Header"/>
    </w:pPr>
  </w:p>
  <w:p w:rsidR="00E877E5" w:rsidRDefault="00E877E5"/>
  <w:p w:rsidR="00E877E5" w:rsidRDefault="00E877E5"/>
  <w:p w:rsidR="00E877E5" w:rsidRDefault="00E877E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7E5" w:rsidRDefault="00E877E5">
    <w:pPr>
      <w:pStyle w:val="Header"/>
    </w:pPr>
  </w:p>
  <w:p w:rsidR="00E877E5" w:rsidRDefault="00E877E5"/>
  <w:p w:rsidR="00E877E5" w:rsidRDefault="00E877E5"/>
  <w:p w:rsidR="00E877E5" w:rsidRDefault="00E877E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980DCB"/>
    <w:multiLevelType w:val="hybridMultilevel"/>
    <w:tmpl w:val="FF2E1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D537F"/>
    <w:multiLevelType w:val="hybridMultilevel"/>
    <w:tmpl w:val="00D8A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221966"/>
    <w:multiLevelType w:val="hybridMultilevel"/>
    <w:tmpl w:val="1FD44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D2D7D95"/>
    <w:multiLevelType w:val="hybridMultilevel"/>
    <w:tmpl w:val="40FA3CD6"/>
    <w:lvl w:ilvl="0" w:tplc="1DBAE696">
      <w:start w:val="1"/>
      <w:numFmt w:val="decimal"/>
      <w:lvlText w:val="%1."/>
      <w:lvlJc w:val="left"/>
      <w:pPr>
        <w:ind w:left="644" w:hanging="360"/>
      </w:pPr>
      <w:rPr>
        <w:b w:val="0"/>
        <w:bCs/>
        <w:strike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4439A5"/>
    <w:multiLevelType w:val="hybridMultilevel"/>
    <w:tmpl w:val="47CCC6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2740796C"/>
    <w:multiLevelType w:val="hybridMultilevel"/>
    <w:tmpl w:val="F7F40D2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3"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4"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F1EBC"/>
    <w:multiLevelType w:val="hybridMultilevel"/>
    <w:tmpl w:val="BB02C2D2"/>
    <w:lvl w:ilvl="0" w:tplc="0D028B8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3411E0">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208EEC">
      <w:start w:val="1"/>
      <w:numFmt w:val="lowerRoman"/>
      <w:lvlText w:val="%3."/>
      <w:lvlJc w:val="left"/>
      <w:pPr>
        <w:ind w:left="179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B4909C">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06FA8A">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566A6A">
      <w:start w:val="1"/>
      <w:numFmt w:val="lowerRoman"/>
      <w:lvlText w:val="%6."/>
      <w:lvlJc w:val="left"/>
      <w:pPr>
        <w:ind w:left="395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4A3CDA">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4E93D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A2473E">
      <w:start w:val="1"/>
      <w:numFmt w:val="lowerRoman"/>
      <w:lvlText w:val="%9."/>
      <w:lvlJc w:val="left"/>
      <w:pPr>
        <w:ind w:left="611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2597F73"/>
    <w:multiLevelType w:val="hybridMultilevel"/>
    <w:tmpl w:val="B4C0D452"/>
    <w:lvl w:ilvl="0" w:tplc="FB188760">
      <w:start w:val="1"/>
      <w:numFmt w:val="upp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5C55C61"/>
    <w:multiLevelType w:val="hybridMultilevel"/>
    <w:tmpl w:val="93AEDE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699105C"/>
    <w:multiLevelType w:val="hybridMultilevel"/>
    <w:tmpl w:val="9926BFE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5"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942380A"/>
    <w:multiLevelType w:val="hybridMultilevel"/>
    <w:tmpl w:val="4404D86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9" w15:restartNumberingAfterBreak="0">
    <w:nsid w:val="563450E1"/>
    <w:multiLevelType w:val="hybridMultilevel"/>
    <w:tmpl w:val="C0F6315C"/>
    <w:lvl w:ilvl="0" w:tplc="2766B81A">
      <w:start w:val="1"/>
      <w:numFmt w:val="decimal"/>
      <w:lvlText w:val="%1."/>
      <w:lvlJc w:val="left"/>
      <w:pPr>
        <w:ind w:left="360" w:hanging="360"/>
      </w:pPr>
      <w:rPr>
        <w:b w:val="0"/>
        <w:u w:val="none"/>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F5F7B57"/>
    <w:multiLevelType w:val="hybridMultilevel"/>
    <w:tmpl w:val="1110E826"/>
    <w:lvl w:ilvl="0" w:tplc="40090013">
      <w:start w:val="1"/>
      <w:numFmt w:val="upperRoman"/>
      <w:lvlText w:val="%1."/>
      <w:lvlJc w:val="right"/>
      <w:pPr>
        <w:ind w:left="720" w:hanging="50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4EE31A">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46CED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6668C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7AEDD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3077EE">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A4B3D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CC5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A238F6">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5FD824DD"/>
    <w:multiLevelType w:val="hybridMultilevel"/>
    <w:tmpl w:val="BB02C2D2"/>
    <w:lvl w:ilvl="0" w:tplc="638EB8D8">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7E7BE2">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7CE68C">
      <w:start w:val="1"/>
      <w:numFmt w:val="lowerRoman"/>
      <w:lvlText w:val="%3."/>
      <w:lvlJc w:val="left"/>
      <w:pPr>
        <w:ind w:left="179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74529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307CFC">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44AE96">
      <w:start w:val="1"/>
      <w:numFmt w:val="lowerRoman"/>
      <w:lvlText w:val="%6."/>
      <w:lvlJc w:val="left"/>
      <w:pPr>
        <w:ind w:left="395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F08264">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62DB94">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B268E2">
      <w:start w:val="1"/>
      <w:numFmt w:val="lowerRoman"/>
      <w:lvlText w:val="%9."/>
      <w:lvlJc w:val="left"/>
      <w:pPr>
        <w:ind w:left="611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628E336F"/>
    <w:multiLevelType w:val="hybridMultilevel"/>
    <w:tmpl w:val="D8D293A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69C876C4"/>
    <w:multiLevelType w:val="hybridMultilevel"/>
    <w:tmpl w:val="31503516"/>
    <w:lvl w:ilvl="0" w:tplc="306E79D4">
      <w:numFmt w:val="bullet"/>
      <w:lvlText w:val="-"/>
      <w:lvlJc w:val="left"/>
      <w:pPr>
        <w:ind w:left="1080" w:hanging="360"/>
      </w:pPr>
      <w:rPr>
        <w:rFonts w:ascii="Palatino Linotype" w:eastAsiaTheme="minorHAnsi" w:hAnsi="Palatino Linotype"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751732D7"/>
    <w:multiLevelType w:val="hybridMultilevel"/>
    <w:tmpl w:val="C0F6315C"/>
    <w:lvl w:ilvl="0" w:tplc="2766B81A">
      <w:start w:val="1"/>
      <w:numFmt w:val="decimal"/>
      <w:lvlText w:val="%1."/>
      <w:lvlJc w:val="left"/>
      <w:pPr>
        <w:ind w:left="360" w:hanging="360"/>
      </w:pPr>
      <w:rPr>
        <w:b w:val="0"/>
        <w:u w:val="none"/>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
  </w:num>
  <w:num w:numId="2">
    <w:abstractNumId w:val="42"/>
  </w:num>
  <w:num w:numId="3">
    <w:abstractNumId w:val="8"/>
  </w:num>
  <w:num w:numId="4">
    <w:abstractNumId w:val="18"/>
  </w:num>
  <w:num w:numId="5">
    <w:abstractNumId w:val="3"/>
  </w:num>
  <w:num w:numId="6">
    <w:abstractNumId w:val="1"/>
  </w:num>
  <w:num w:numId="7">
    <w:abstractNumId w:val="2"/>
  </w:num>
  <w:num w:numId="8">
    <w:abstractNumId w:val="0"/>
  </w:num>
  <w:num w:numId="9">
    <w:abstractNumId w:val="13"/>
  </w:num>
  <w:num w:numId="10">
    <w:abstractNumId w:val="15"/>
  </w:num>
  <w:num w:numId="11">
    <w:abstractNumId w:val="30"/>
  </w:num>
  <w:num w:numId="12">
    <w:abstractNumId w:val="16"/>
  </w:num>
  <w:num w:numId="13">
    <w:abstractNumId w:val="41"/>
  </w:num>
  <w:num w:numId="14">
    <w:abstractNumId w:val="46"/>
  </w:num>
  <w:num w:numId="15">
    <w:abstractNumId w:val="17"/>
  </w:num>
  <w:num w:numId="16">
    <w:abstractNumId w:val="45"/>
  </w:num>
  <w:num w:numId="17">
    <w:abstractNumId w:val="22"/>
  </w:num>
  <w:num w:numId="18">
    <w:abstractNumId w:val="32"/>
  </w:num>
  <w:num w:numId="19">
    <w:abstractNumId w:val="5"/>
  </w:num>
  <w:num w:numId="20">
    <w:abstractNumId w:val="37"/>
  </w:num>
  <w:num w:numId="21">
    <w:abstractNumId w:val="40"/>
  </w:num>
  <w:num w:numId="22">
    <w:abstractNumId w:val="24"/>
  </w:num>
  <w:num w:numId="23">
    <w:abstractNumId w:val="12"/>
  </w:num>
  <w:num w:numId="24">
    <w:abstractNumId w:val="47"/>
  </w:num>
  <w:num w:numId="25">
    <w:abstractNumId w:val="4"/>
  </w:num>
  <w:num w:numId="26">
    <w:abstractNumId w:val="19"/>
  </w:num>
  <w:num w:numId="27">
    <w:abstractNumId w:val="20"/>
  </w:num>
  <w:num w:numId="28">
    <w:abstractNumId w:val="10"/>
  </w:num>
  <w:num w:numId="29">
    <w:abstractNumId w:val="26"/>
  </w:num>
  <w:num w:numId="30">
    <w:abstractNumId w:val="35"/>
  </w:num>
  <w:num w:numId="31">
    <w:abstractNumId w:val="27"/>
  </w:num>
  <w:num w:numId="32">
    <w:abstractNumId w:val="28"/>
  </w:num>
  <w:num w:numId="33">
    <w:abstractNumId w:val="23"/>
  </w:num>
  <w:num w:numId="34">
    <w:abstractNumId w:val="38"/>
  </w:num>
  <w:num w:numId="35">
    <w:abstractNumId w:val="31"/>
  </w:num>
  <w:num w:numId="36">
    <w:abstractNumId w:val="11"/>
  </w:num>
  <w:num w:numId="37">
    <w:abstractNumId w:val="25"/>
  </w:num>
  <w:num w:numId="38">
    <w:abstractNumId w:val="9"/>
  </w:num>
  <w:num w:numId="39">
    <w:abstractNumId w:val="21"/>
  </w:num>
  <w:num w:numId="40">
    <w:abstractNumId w:val="34"/>
  </w:num>
  <w:num w:numId="41">
    <w:abstractNumId w:val="6"/>
  </w:num>
  <w:num w:numId="42">
    <w:abstractNumId w:val="33"/>
  </w:num>
  <w:num w:numId="43">
    <w:abstractNumId w:val="48"/>
  </w:num>
  <w:num w:numId="44">
    <w:abstractNumId w:val="36"/>
  </w:num>
  <w:num w:numId="45">
    <w:abstractNumId w:val="39"/>
  </w:num>
  <w:num w:numId="46">
    <w:abstractNumId w:val="44"/>
  </w:num>
  <w:num w:numId="47">
    <w:abstractNumId w:val="29"/>
    <w:lvlOverride w:ilvl="0">
      <w:lvl w:ilvl="0" w:tplc="0D028B8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213411E0">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2D208EEC">
        <w:start w:val="1"/>
        <w:numFmt w:val="lowerRoman"/>
        <w:lvlText w:val="%3."/>
        <w:lvlJc w:val="left"/>
        <w:pPr>
          <w:ind w:left="179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6CB4909C">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4F06FA8A">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09566A6A">
        <w:start w:val="1"/>
        <w:numFmt w:val="lowerRoman"/>
        <w:lvlText w:val="%6."/>
        <w:lvlJc w:val="left"/>
        <w:pPr>
          <w:ind w:left="395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D84A3CDA">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EB4E93D8">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EA2473E">
        <w:start w:val="1"/>
        <w:numFmt w:val="lowerRoman"/>
        <w:lvlText w:val="%9."/>
        <w:lvlJc w:val="left"/>
        <w:pPr>
          <w:ind w:left="6117" w:hanging="31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8">
    <w:abstractNumId w:val="43"/>
  </w:num>
  <w:num w:numId="4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56EC"/>
    <w:rsid w:val="00057D3C"/>
    <w:rsid w:val="00062D7C"/>
    <w:rsid w:val="00062F4A"/>
    <w:rsid w:val="00063FF5"/>
    <w:rsid w:val="00065CF0"/>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2F76"/>
    <w:rsid w:val="000A34B6"/>
    <w:rsid w:val="000A37CE"/>
    <w:rsid w:val="000A47E6"/>
    <w:rsid w:val="000A4D70"/>
    <w:rsid w:val="000A7141"/>
    <w:rsid w:val="000B0A37"/>
    <w:rsid w:val="000B0DD6"/>
    <w:rsid w:val="000B27CD"/>
    <w:rsid w:val="000B2BC5"/>
    <w:rsid w:val="000B3175"/>
    <w:rsid w:val="000B4450"/>
    <w:rsid w:val="000B5243"/>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09EA"/>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021B"/>
    <w:rsid w:val="0015129D"/>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65"/>
    <w:rsid w:val="0018378C"/>
    <w:rsid w:val="00183E80"/>
    <w:rsid w:val="001847A1"/>
    <w:rsid w:val="00184C5B"/>
    <w:rsid w:val="00184D09"/>
    <w:rsid w:val="0018502D"/>
    <w:rsid w:val="001868D6"/>
    <w:rsid w:val="00186E61"/>
    <w:rsid w:val="001912C3"/>
    <w:rsid w:val="00191B9C"/>
    <w:rsid w:val="0019305B"/>
    <w:rsid w:val="001932A2"/>
    <w:rsid w:val="00193EFB"/>
    <w:rsid w:val="0019451C"/>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132"/>
    <w:rsid w:val="001D04F5"/>
    <w:rsid w:val="001D093A"/>
    <w:rsid w:val="001D0BCA"/>
    <w:rsid w:val="001D1729"/>
    <w:rsid w:val="001D2CA3"/>
    <w:rsid w:val="001D4399"/>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4741"/>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67E"/>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88D"/>
    <w:rsid w:val="00297ABE"/>
    <w:rsid w:val="002A0261"/>
    <w:rsid w:val="002A1CAB"/>
    <w:rsid w:val="002A25B6"/>
    <w:rsid w:val="002A2BB0"/>
    <w:rsid w:val="002A51F7"/>
    <w:rsid w:val="002A54FF"/>
    <w:rsid w:val="002A6544"/>
    <w:rsid w:val="002A68F6"/>
    <w:rsid w:val="002A7477"/>
    <w:rsid w:val="002A7A64"/>
    <w:rsid w:val="002A7D0C"/>
    <w:rsid w:val="002B0029"/>
    <w:rsid w:val="002B0E62"/>
    <w:rsid w:val="002B13B8"/>
    <w:rsid w:val="002B2515"/>
    <w:rsid w:val="002B2FED"/>
    <w:rsid w:val="002B402D"/>
    <w:rsid w:val="002B6143"/>
    <w:rsid w:val="002B769A"/>
    <w:rsid w:val="002C0082"/>
    <w:rsid w:val="002C0CF3"/>
    <w:rsid w:val="002C1136"/>
    <w:rsid w:val="002C1200"/>
    <w:rsid w:val="002C2400"/>
    <w:rsid w:val="002C2CFE"/>
    <w:rsid w:val="002C3645"/>
    <w:rsid w:val="002C3840"/>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D724A"/>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984"/>
    <w:rsid w:val="002F2F21"/>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6DA"/>
    <w:rsid w:val="00397E98"/>
    <w:rsid w:val="003A17FF"/>
    <w:rsid w:val="003A21E5"/>
    <w:rsid w:val="003A297D"/>
    <w:rsid w:val="003A2BF9"/>
    <w:rsid w:val="003A331B"/>
    <w:rsid w:val="003A3BEA"/>
    <w:rsid w:val="003A48C5"/>
    <w:rsid w:val="003A4AC6"/>
    <w:rsid w:val="003A4BE3"/>
    <w:rsid w:val="003A5FB5"/>
    <w:rsid w:val="003B0D0B"/>
    <w:rsid w:val="003B1065"/>
    <w:rsid w:val="003B16D2"/>
    <w:rsid w:val="003B1DAD"/>
    <w:rsid w:val="003B1F08"/>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3C28"/>
    <w:rsid w:val="003D3F72"/>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892"/>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7A2"/>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1F3B"/>
    <w:rsid w:val="0044362C"/>
    <w:rsid w:val="00444544"/>
    <w:rsid w:val="00444D4B"/>
    <w:rsid w:val="00445C99"/>
    <w:rsid w:val="00445CDF"/>
    <w:rsid w:val="00446060"/>
    <w:rsid w:val="00450AC4"/>
    <w:rsid w:val="00450C02"/>
    <w:rsid w:val="00451057"/>
    <w:rsid w:val="004517B1"/>
    <w:rsid w:val="00451CE6"/>
    <w:rsid w:val="004527F1"/>
    <w:rsid w:val="004531B5"/>
    <w:rsid w:val="0045332B"/>
    <w:rsid w:val="004539CC"/>
    <w:rsid w:val="00453B3B"/>
    <w:rsid w:val="00453EDC"/>
    <w:rsid w:val="00454200"/>
    <w:rsid w:val="00454BBE"/>
    <w:rsid w:val="00455CC2"/>
    <w:rsid w:val="0045638C"/>
    <w:rsid w:val="00456C34"/>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C7FE7"/>
    <w:rsid w:val="004D03BA"/>
    <w:rsid w:val="004D10FC"/>
    <w:rsid w:val="004D20E5"/>
    <w:rsid w:val="004D2766"/>
    <w:rsid w:val="004D4942"/>
    <w:rsid w:val="004D5075"/>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508B"/>
    <w:rsid w:val="00515FF5"/>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E3D"/>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55E8"/>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091"/>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970"/>
    <w:rsid w:val="005D5D3B"/>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02C"/>
    <w:rsid w:val="00606689"/>
    <w:rsid w:val="00606E35"/>
    <w:rsid w:val="006100DD"/>
    <w:rsid w:val="0061099B"/>
    <w:rsid w:val="00610C35"/>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0831"/>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206E"/>
    <w:rsid w:val="006639C3"/>
    <w:rsid w:val="006659D3"/>
    <w:rsid w:val="00665D17"/>
    <w:rsid w:val="0066762D"/>
    <w:rsid w:val="006677F4"/>
    <w:rsid w:val="0067060D"/>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13C9"/>
    <w:rsid w:val="00682024"/>
    <w:rsid w:val="00682378"/>
    <w:rsid w:val="006826F4"/>
    <w:rsid w:val="0068361F"/>
    <w:rsid w:val="0068366D"/>
    <w:rsid w:val="006849C4"/>
    <w:rsid w:val="00684B64"/>
    <w:rsid w:val="00684D9D"/>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0CFF"/>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637"/>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2EA"/>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C1D"/>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12B4"/>
    <w:rsid w:val="0079221D"/>
    <w:rsid w:val="00795793"/>
    <w:rsid w:val="00795D12"/>
    <w:rsid w:val="007978DE"/>
    <w:rsid w:val="007A1490"/>
    <w:rsid w:val="007A291E"/>
    <w:rsid w:val="007A54BA"/>
    <w:rsid w:val="007A583C"/>
    <w:rsid w:val="007A5939"/>
    <w:rsid w:val="007A5C7F"/>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332"/>
    <w:rsid w:val="007C18BF"/>
    <w:rsid w:val="007C2581"/>
    <w:rsid w:val="007C27EF"/>
    <w:rsid w:val="007C2931"/>
    <w:rsid w:val="007C2E4F"/>
    <w:rsid w:val="007C32C5"/>
    <w:rsid w:val="007C372B"/>
    <w:rsid w:val="007C52EA"/>
    <w:rsid w:val="007C5387"/>
    <w:rsid w:val="007C67D6"/>
    <w:rsid w:val="007C6D7E"/>
    <w:rsid w:val="007C7A52"/>
    <w:rsid w:val="007C7C20"/>
    <w:rsid w:val="007D0F24"/>
    <w:rsid w:val="007D1402"/>
    <w:rsid w:val="007D2ED4"/>
    <w:rsid w:val="007D32EC"/>
    <w:rsid w:val="007D475A"/>
    <w:rsid w:val="007D4F15"/>
    <w:rsid w:val="007D5106"/>
    <w:rsid w:val="007D5625"/>
    <w:rsid w:val="007D6375"/>
    <w:rsid w:val="007D685F"/>
    <w:rsid w:val="007D7450"/>
    <w:rsid w:val="007D7570"/>
    <w:rsid w:val="007D7650"/>
    <w:rsid w:val="007E14FB"/>
    <w:rsid w:val="007E1A4F"/>
    <w:rsid w:val="007E1E9F"/>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6B3"/>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4BBE"/>
    <w:rsid w:val="0088537A"/>
    <w:rsid w:val="0088584C"/>
    <w:rsid w:val="00886AD0"/>
    <w:rsid w:val="008904AD"/>
    <w:rsid w:val="00892E7D"/>
    <w:rsid w:val="00892FAD"/>
    <w:rsid w:val="008933EF"/>
    <w:rsid w:val="00893AB5"/>
    <w:rsid w:val="00895BEF"/>
    <w:rsid w:val="00895DB7"/>
    <w:rsid w:val="00896A80"/>
    <w:rsid w:val="00897679"/>
    <w:rsid w:val="008A27DC"/>
    <w:rsid w:val="008A3113"/>
    <w:rsid w:val="008A3A6D"/>
    <w:rsid w:val="008A4C21"/>
    <w:rsid w:val="008A54E3"/>
    <w:rsid w:val="008B0622"/>
    <w:rsid w:val="008B0809"/>
    <w:rsid w:val="008B1B74"/>
    <w:rsid w:val="008B20BD"/>
    <w:rsid w:val="008B37FC"/>
    <w:rsid w:val="008B3E9B"/>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E7F"/>
    <w:rsid w:val="008D1F15"/>
    <w:rsid w:val="008D1F2B"/>
    <w:rsid w:val="008D3B96"/>
    <w:rsid w:val="008D5210"/>
    <w:rsid w:val="008D6416"/>
    <w:rsid w:val="008D652C"/>
    <w:rsid w:val="008D7F6B"/>
    <w:rsid w:val="008E05E9"/>
    <w:rsid w:val="008E0D37"/>
    <w:rsid w:val="008E2D53"/>
    <w:rsid w:val="008E4467"/>
    <w:rsid w:val="008E4CD7"/>
    <w:rsid w:val="008E641D"/>
    <w:rsid w:val="008E64DA"/>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1506"/>
    <w:rsid w:val="00922591"/>
    <w:rsid w:val="00922A73"/>
    <w:rsid w:val="00922D02"/>
    <w:rsid w:val="00922E82"/>
    <w:rsid w:val="00926673"/>
    <w:rsid w:val="00926FCA"/>
    <w:rsid w:val="009271A2"/>
    <w:rsid w:val="00927CEF"/>
    <w:rsid w:val="0093027F"/>
    <w:rsid w:val="0093151B"/>
    <w:rsid w:val="00931738"/>
    <w:rsid w:val="009319FC"/>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23A"/>
    <w:rsid w:val="00951984"/>
    <w:rsid w:val="0095439B"/>
    <w:rsid w:val="00954EC8"/>
    <w:rsid w:val="009553FC"/>
    <w:rsid w:val="009554DD"/>
    <w:rsid w:val="0095681C"/>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1555"/>
    <w:rsid w:val="00992514"/>
    <w:rsid w:val="00992888"/>
    <w:rsid w:val="00992AA9"/>
    <w:rsid w:val="009947F1"/>
    <w:rsid w:val="009949CE"/>
    <w:rsid w:val="00994F03"/>
    <w:rsid w:val="009972B4"/>
    <w:rsid w:val="009A01F1"/>
    <w:rsid w:val="009A045C"/>
    <w:rsid w:val="009A081F"/>
    <w:rsid w:val="009A0EB3"/>
    <w:rsid w:val="009A0F19"/>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C7CB5"/>
    <w:rsid w:val="009D18C6"/>
    <w:rsid w:val="009D1DA9"/>
    <w:rsid w:val="009D2440"/>
    <w:rsid w:val="009D3922"/>
    <w:rsid w:val="009D4471"/>
    <w:rsid w:val="009D4775"/>
    <w:rsid w:val="009D4AE0"/>
    <w:rsid w:val="009D56BB"/>
    <w:rsid w:val="009D5D54"/>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9F7467"/>
    <w:rsid w:val="00A00155"/>
    <w:rsid w:val="00A01043"/>
    <w:rsid w:val="00A0126B"/>
    <w:rsid w:val="00A01720"/>
    <w:rsid w:val="00A02454"/>
    <w:rsid w:val="00A02548"/>
    <w:rsid w:val="00A02D52"/>
    <w:rsid w:val="00A03A7D"/>
    <w:rsid w:val="00A03B4A"/>
    <w:rsid w:val="00A048CA"/>
    <w:rsid w:val="00A04AA5"/>
    <w:rsid w:val="00A072C1"/>
    <w:rsid w:val="00A07B14"/>
    <w:rsid w:val="00A113B3"/>
    <w:rsid w:val="00A11694"/>
    <w:rsid w:val="00A12A17"/>
    <w:rsid w:val="00A12F12"/>
    <w:rsid w:val="00A134B2"/>
    <w:rsid w:val="00A139E6"/>
    <w:rsid w:val="00A14C28"/>
    <w:rsid w:val="00A16061"/>
    <w:rsid w:val="00A16582"/>
    <w:rsid w:val="00A16772"/>
    <w:rsid w:val="00A16E83"/>
    <w:rsid w:val="00A17085"/>
    <w:rsid w:val="00A2036F"/>
    <w:rsid w:val="00A213F3"/>
    <w:rsid w:val="00A21509"/>
    <w:rsid w:val="00A22976"/>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3B00"/>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985"/>
    <w:rsid w:val="00AB1FF4"/>
    <w:rsid w:val="00AB3527"/>
    <w:rsid w:val="00AB38CA"/>
    <w:rsid w:val="00AB511C"/>
    <w:rsid w:val="00AB60E2"/>
    <w:rsid w:val="00AB6456"/>
    <w:rsid w:val="00AB6AEF"/>
    <w:rsid w:val="00AB7107"/>
    <w:rsid w:val="00AB7139"/>
    <w:rsid w:val="00AB7C34"/>
    <w:rsid w:val="00AC14D1"/>
    <w:rsid w:val="00AC22A0"/>
    <w:rsid w:val="00AC244F"/>
    <w:rsid w:val="00AC392D"/>
    <w:rsid w:val="00AC3C2E"/>
    <w:rsid w:val="00AC488B"/>
    <w:rsid w:val="00AC4CC9"/>
    <w:rsid w:val="00AC5D60"/>
    <w:rsid w:val="00AC6957"/>
    <w:rsid w:val="00AC76F5"/>
    <w:rsid w:val="00AD0803"/>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F5D"/>
    <w:rsid w:val="00B44032"/>
    <w:rsid w:val="00B45E12"/>
    <w:rsid w:val="00B468AF"/>
    <w:rsid w:val="00B519C5"/>
    <w:rsid w:val="00B51B78"/>
    <w:rsid w:val="00B528CF"/>
    <w:rsid w:val="00B53C22"/>
    <w:rsid w:val="00B53F3F"/>
    <w:rsid w:val="00B540E7"/>
    <w:rsid w:val="00B541B9"/>
    <w:rsid w:val="00B54834"/>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039"/>
    <w:rsid w:val="00B82698"/>
    <w:rsid w:val="00B8272E"/>
    <w:rsid w:val="00B833BF"/>
    <w:rsid w:val="00B84302"/>
    <w:rsid w:val="00B84B85"/>
    <w:rsid w:val="00B84C76"/>
    <w:rsid w:val="00B853DA"/>
    <w:rsid w:val="00B86576"/>
    <w:rsid w:val="00B86DCD"/>
    <w:rsid w:val="00B877F4"/>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C75D1"/>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396C"/>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778"/>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0C2F"/>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F98"/>
    <w:rsid w:val="00CE4665"/>
    <w:rsid w:val="00CE4A4A"/>
    <w:rsid w:val="00CE4B31"/>
    <w:rsid w:val="00CE57A6"/>
    <w:rsid w:val="00CE5886"/>
    <w:rsid w:val="00CE67FD"/>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04F"/>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3F7C"/>
    <w:rsid w:val="00D34976"/>
    <w:rsid w:val="00D35D87"/>
    <w:rsid w:val="00D35EDA"/>
    <w:rsid w:val="00D36D16"/>
    <w:rsid w:val="00D379DA"/>
    <w:rsid w:val="00D41955"/>
    <w:rsid w:val="00D41CEF"/>
    <w:rsid w:val="00D42A9B"/>
    <w:rsid w:val="00D436B0"/>
    <w:rsid w:val="00D43EC5"/>
    <w:rsid w:val="00D44378"/>
    <w:rsid w:val="00D44C7A"/>
    <w:rsid w:val="00D44E9F"/>
    <w:rsid w:val="00D46528"/>
    <w:rsid w:val="00D47ADA"/>
    <w:rsid w:val="00D47EDA"/>
    <w:rsid w:val="00D507E7"/>
    <w:rsid w:val="00D516BE"/>
    <w:rsid w:val="00D521CB"/>
    <w:rsid w:val="00D52596"/>
    <w:rsid w:val="00D53811"/>
    <w:rsid w:val="00D53DAE"/>
    <w:rsid w:val="00D543C1"/>
    <w:rsid w:val="00D54667"/>
    <w:rsid w:val="00D5516F"/>
    <w:rsid w:val="00D554B6"/>
    <w:rsid w:val="00D564A7"/>
    <w:rsid w:val="00D566D4"/>
    <w:rsid w:val="00D604C1"/>
    <w:rsid w:val="00D62698"/>
    <w:rsid w:val="00D62831"/>
    <w:rsid w:val="00D62DC1"/>
    <w:rsid w:val="00D641AA"/>
    <w:rsid w:val="00D64AD2"/>
    <w:rsid w:val="00D65F6E"/>
    <w:rsid w:val="00D702D2"/>
    <w:rsid w:val="00D7034F"/>
    <w:rsid w:val="00D70AD3"/>
    <w:rsid w:val="00D70DF4"/>
    <w:rsid w:val="00D72D6A"/>
    <w:rsid w:val="00D73337"/>
    <w:rsid w:val="00D733A1"/>
    <w:rsid w:val="00D74300"/>
    <w:rsid w:val="00D75A3C"/>
    <w:rsid w:val="00D76680"/>
    <w:rsid w:val="00D802C2"/>
    <w:rsid w:val="00D803BC"/>
    <w:rsid w:val="00D80A78"/>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567"/>
    <w:rsid w:val="00D93E39"/>
    <w:rsid w:val="00D940CE"/>
    <w:rsid w:val="00D95495"/>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B7D3F"/>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2C51"/>
    <w:rsid w:val="00DF4282"/>
    <w:rsid w:val="00DF4DB1"/>
    <w:rsid w:val="00DF4F75"/>
    <w:rsid w:val="00DF61AF"/>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3CE"/>
    <w:rsid w:val="00E21C48"/>
    <w:rsid w:val="00E23764"/>
    <w:rsid w:val="00E25497"/>
    <w:rsid w:val="00E25BD9"/>
    <w:rsid w:val="00E26147"/>
    <w:rsid w:val="00E263F0"/>
    <w:rsid w:val="00E26457"/>
    <w:rsid w:val="00E2730C"/>
    <w:rsid w:val="00E3101C"/>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198"/>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4C7F"/>
    <w:rsid w:val="00E75332"/>
    <w:rsid w:val="00E7624D"/>
    <w:rsid w:val="00E8001E"/>
    <w:rsid w:val="00E808D0"/>
    <w:rsid w:val="00E80A7D"/>
    <w:rsid w:val="00E8251D"/>
    <w:rsid w:val="00E8490D"/>
    <w:rsid w:val="00E85B1B"/>
    <w:rsid w:val="00E86EA2"/>
    <w:rsid w:val="00E877E5"/>
    <w:rsid w:val="00E87E37"/>
    <w:rsid w:val="00E90138"/>
    <w:rsid w:val="00E92CFD"/>
    <w:rsid w:val="00E933DC"/>
    <w:rsid w:val="00E940C3"/>
    <w:rsid w:val="00E94C05"/>
    <w:rsid w:val="00E94CA0"/>
    <w:rsid w:val="00E9744A"/>
    <w:rsid w:val="00E974CF"/>
    <w:rsid w:val="00E97AE2"/>
    <w:rsid w:val="00EA169B"/>
    <w:rsid w:val="00EA2012"/>
    <w:rsid w:val="00EA26A1"/>
    <w:rsid w:val="00EA32C3"/>
    <w:rsid w:val="00EA4711"/>
    <w:rsid w:val="00EA538F"/>
    <w:rsid w:val="00EA5938"/>
    <w:rsid w:val="00EA5A39"/>
    <w:rsid w:val="00EA5B35"/>
    <w:rsid w:val="00EA5BCF"/>
    <w:rsid w:val="00EA5E9F"/>
    <w:rsid w:val="00EA65EF"/>
    <w:rsid w:val="00EA6A83"/>
    <w:rsid w:val="00EA7E15"/>
    <w:rsid w:val="00EB1612"/>
    <w:rsid w:val="00EB1B35"/>
    <w:rsid w:val="00EB249E"/>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5A61"/>
    <w:rsid w:val="00EF72F8"/>
    <w:rsid w:val="00EF7C44"/>
    <w:rsid w:val="00EF7CD4"/>
    <w:rsid w:val="00F01695"/>
    <w:rsid w:val="00F025AD"/>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3C2B"/>
    <w:rsid w:val="00F3519E"/>
    <w:rsid w:val="00F359B1"/>
    <w:rsid w:val="00F368EA"/>
    <w:rsid w:val="00F378C2"/>
    <w:rsid w:val="00F37BB4"/>
    <w:rsid w:val="00F40C36"/>
    <w:rsid w:val="00F418DA"/>
    <w:rsid w:val="00F42930"/>
    <w:rsid w:val="00F42B5D"/>
    <w:rsid w:val="00F42F9E"/>
    <w:rsid w:val="00F437A5"/>
    <w:rsid w:val="00F43DB2"/>
    <w:rsid w:val="00F45282"/>
    <w:rsid w:val="00F45A36"/>
    <w:rsid w:val="00F461C7"/>
    <w:rsid w:val="00F4639C"/>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97E86"/>
    <w:rsid w:val="00FA0EBD"/>
    <w:rsid w:val="00FA13ED"/>
    <w:rsid w:val="00FA1A7B"/>
    <w:rsid w:val="00FA1DD2"/>
    <w:rsid w:val="00FA4546"/>
    <w:rsid w:val="00FA4878"/>
    <w:rsid w:val="00FA504E"/>
    <w:rsid w:val="00FA5150"/>
    <w:rsid w:val="00FA6E64"/>
    <w:rsid w:val="00FB2E1D"/>
    <w:rsid w:val="00FB365C"/>
    <w:rsid w:val="00FB4843"/>
    <w:rsid w:val="00FB5B4E"/>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721E"/>
    <w:rsid w:val="00FC7502"/>
    <w:rsid w:val="00FC7879"/>
    <w:rsid w:val="00FD152A"/>
    <w:rsid w:val="00FD1851"/>
    <w:rsid w:val="00FD1D35"/>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3533201">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mailto:bulletin@sebi.gov.in"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eader" Target="header1.xml"/><Relationship Id="rId47" Type="http://schemas.openxmlformats.org/officeDocument/2006/relationships/hyperlink" Target="https://www.fca.org.uk/news/news-stories/fca-publishes-final-rules-to-strengthen-investor-protections-in-spacs" TargetMode="External"/><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1.xml"/><Relationship Id="rId11" Type="http://schemas.openxmlformats.org/officeDocument/2006/relationships/numbering" Target="numbering.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customXml" Target="../customXml/item10.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1.xm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2.xml"/><Relationship Id="rId48" Type="http://schemas.openxmlformats.org/officeDocument/2006/relationships/hyperlink" Target="https://www.fsb.org/2021/07/fsb-urges-action-to-complete-the-transition-away-from-libor-by-end-2021/" TargetMode="External"/><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http://www.sebi.gov.in"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3.png"/><Relationship Id="rId46" Type="http://schemas.openxmlformats.org/officeDocument/2006/relationships/hyperlink" Target="https://www.iosco.org/news/pdf/IOSCONEWS613.pdf" TargetMode="External"/><Relationship Id="rId20" Type="http://schemas.openxmlformats.org/officeDocument/2006/relationships/chart" Target="charts/chart2.xml"/><Relationship Id="rId41" Type="http://schemas.openxmlformats.org/officeDocument/2006/relationships/image" Target="media/image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png"/><Relationship Id="rId49" Type="http://schemas.openxmlformats.org/officeDocument/2006/relationships/hyperlink" Target="https://www.fsb.org/2021/07/lessons-learnt-from-the-covid-19-pandemic-from-a-financial-stability-perspective-interim-repor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2015\Desktop\Bulletin\August%2021\CMR%20Aug%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015\Desktop\Bulletin\August%2021\CMR%20Aug%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2015\Desktop\Bulletin\August%2021\CMR%20Aug%2020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2015\Desktop\Bulletin\August%2021\CMR%20Aug%20202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2002\Desktop\CRD%20Bulletin\202108\Graphs%20%20data%20for%20bulletin%20Aug%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2002\Desktop\CRD%20Bulletin\Commodities_Master_File.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2002\Desktop\CRD%20Bulletin\Commodities_Master_File.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2002\Desktop\CRD%20Bulletin\Commodities_Master_File.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2015\Desktop\Bulletin\August%2021\CMR%20Aug%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2015\Desktop\Bulletin\August%2021\CMR%20Aug%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2015\Desktop\Bulletin\August%2021\CMR%20Aug%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015\Desktop\Bulletin\August%2021\CMR%20Aug%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015\Desktop\Bulletin\August%2021\CMR%20Aug%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2015\Desktop\Bulletin\August%2021\CMR%20Aug%202021.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015\Desktop\Bulletin\August%2021\CMR%20Aug%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2015\Desktop\Bulletin\August%2021\CMR%20Aug%20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'F1'!$D$1</c:f>
              <c:strCache>
                <c:ptCount val="1"/>
                <c:pt idx="0">
                  <c:v>Nifty </c:v>
                </c:pt>
              </c:strCache>
            </c:strRef>
          </c:tx>
          <c:spPr>
            <a:ln w="28575" cap="rnd">
              <a:solidFill>
                <a:srgbClr val="00B050"/>
              </a:solidFill>
              <a:round/>
            </a:ln>
            <a:effectLst/>
          </c:spPr>
          <c:marker>
            <c:symbol val="none"/>
          </c:marker>
          <c:cat>
            <c:numRef>
              <c:f>'F1'!$A$2:$A$23</c:f>
              <c:numCache>
                <c:formatCode>[$-409]d\-mmm\-yy;@</c:formatCode>
                <c:ptCount val="22"/>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44399</c:v>
                </c:pt>
                <c:pt idx="15">
                  <c:v>44400</c:v>
                </c:pt>
                <c:pt idx="16">
                  <c:v>44403</c:v>
                </c:pt>
                <c:pt idx="17">
                  <c:v>44404</c:v>
                </c:pt>
                <c:pt idx="18">
                  <c:v>44405</c:v>
                </c:pt>
                <c:pt idx="19">
                  <c:v>44406</c:v>
                </c:pt>
                <c:pt idx="20">
                  <c:v>44407</c:v>
                </c:pt>
              </c:numCache>
            </c:numRef>
          </c:cat>
          <c:val>
            <c:numRef>
              <c:f>'F1'!$D$2:$D$23</c:f>
              <c:numCache>
                <c:formatCode>0.0</c:formatCode>
                <c:ptCount val="22"/>
                <c:pt idx="0">
                  <c:v>100</c:v>
                </c:pt>
                <c:pt idx="1">
                  <c:v>100.26913265306123</c:v>
                </c:pt>
                <c:pt idx="2">
                  <c:v>100.98437500000001</c:v>
                </c:pt>
                <c:pt idx="3">
                  <c:v>100.88169642857144</c:v>
                </c:pt>
                <c:pt idx="4">
                  <c:v>101.2732780612245</c:v>
                </c:pt>
                <c:pt idx="5">
                  <c:v>100.30548469387756</c:v>
                </c:pt>
                <c:pt idx="6">
                  <c:v>100.06250000000001</c:v>
                </c:pt>
                <c:pt idx="7">
                  <c:v>100.08035714285717</c:v>
                </c:pt>
                <c:pt idx="8">
                  <c:v>100.84406887755105</c:v>
                </c:pt>
                <c:pt idx="9">
                  <c:v>101.10937500000004</c:v>
                </c:pt>
                <c:pt idx="10">
                  <c:v>101.55739795918373</c:v>
                </c:pt>
                <c:pt idx="11">
                  <c:v>101.55229591836739</c:v>
                </c:pt>
                <c:pt idx="12">
                  <c:v>100.4617346938776</c:v>
                </c:pt>
                <c:pt idx="13">
                  <c:v>99.694515306122511</c:v>
                </c:pt>
                <c:pt idx="14">
                  <c:v>100.91868622448985</c:v>
                </c:pt>
                <c:pt idx="15">
                  <c:v>101.1227678571429</c:v>
                </c:pt>
                <c:pt idx="16">
                  <c:v>100.92123724489802</c:v>
                </c:pt>
                <c:pt idx="17">
                  <c:v>100.42378826530619</c:v>
                </c:pt>
                <c:pt idx="18">
                  <c:v>100.18750000000006</c:v>
                </c:pt>
                <c:pt idx="19">
                  <c:v>100.62786989795926</c:v>
                </c:pt>
                <c:pt idx="20">
                  <c:v>100.52965561224497</c:v>
                </c:pt>
              </c:numCache>
            </c:numRef>
          </c:val>
          <c:smooth val="0"/>
          <c:extLst>
            <c:ext xmlns:c16="http://schemas.microsoft.com/office/drawing/2014/chart" uri="{C3380CC4-5D6E-409C-BE32-E72D297353CC}">
              <c16:uniqueId val="{00000000-A028-4A39-AF4B-406AACB02AA5}"/>
            </c:ext>
          </c:extLst>
        </c:ser>
        <c:ser>
          <c:idx val="3"/>
          <c:order val="1"/>
          <c:tx>
            <c:strRef>
              <c:f>'F1'!$E$1</c:f>
              <c:strCache>
                <c:ptCount val="1"/>
                <c:pt idx="0">
                  <c:v>Sensex </c:v>
                </c:pt>
              </c:strCache>
            </c:strRef>
          </c:tx>
          <c:spPr>
            <a:ln w="28575" cap="rnd">
              <a:solidFill>
                <a:srgbClr val="FF0000"/>
              </a:solidFill>
              <a:round/>
            </a:ln>
            <a:effectLst/>
          </c:spPr>
          <c:marker>
            <c:symbol val="none"/>
          </c:marker>
          <c:cat>
            <c:numRef>
              <c:f>'F1'!$A$2:$A$23</c:f>
              <c:numCache>
                <c:formatCode>[$-409]d\-mmm\-yy;@</c:formatCode>
                <c:ptCount val="22"/>
                <c:pt idx="0">
                  <c:v>44378</c:v>
                </c:pt>
                <c:pt idx="1">
                  <c:v>44379</c:v>
                </c:pt>
                <c:pt idx="2">
                  <c:v>44382</c:v>
                </c:pt>
                <c:pt idx="3">
                  <c:v>44383</c:v>
                </c:pt>
                <c:pt idx="4">
                  <c:v>44384</c:v>
                </c:pt>
                <c:pt idx="5">
                  <c:v>44385</c:v>
                </c:pt>
                <c:pt idx="6">
                  <c:v>44386</c:v>
                </c:pt>
                <c:pt idx="7">
                  <c:v>44389</c:v>
                </c:pt>
                <c:pt idx="8">
                  <c:v>44390</c:v>
                </c:pt>
                <c:pt idx="9">
                  <c:v>44391</c:v>
                </c:pt>
                <c:pt idx="10">
                  <c:v>44392</c:v>
                </c:pt>
                <c:pt idx="11">
                  <c:v>44393</c:v>
                </c:pt>
                <c:pt idx="12">
                  <c:v>44396</c:v>
                </c:pt>
                <c:pt idx="13">
                  <c:v>44397</c:v>
                </c:pt>
                <c:pt idx="14">
                  <c:v>44399</c:v>
                </c:pt>
                <c:pt idx="15">
                  <c:v>44400</c:v>
                </c:pt>
                <c:pt idx="16">
                  <c:v>44403</c:v>
                </c:pt>
                <c:pt idx="17">
                  <c:v>44404</c:v>
                </c:pt>
                <c:pt idx="18">
                  <c:v>44405</c:v>
                </c:pt>
                <c:pt idx="19">
                  <c:v>44406</c:v>
                </c:pt>
                <c:pt idx="20">
                  <c:v>44407</c:v>
                </c:pt>
              </c:numCache>
            </c:numRef>
          </c:cat>
          <c:val>
            <c:numRef>
              <c:f>'F1'!$E$2:$E$23</c:f>
              <c:numCache>
                <c:formatCode>0.0</c:formatCode>
                <c:ptCount val="22"/>
                <c:pt idx="0" formatCode="0">
                  <c:v>100</c:v>
                </c:pt>
                <c:pt idx="1">
                  <c:v>100.31728435176512</c:v>
                </c:pt>
                <c:pt idx="2">
                  <c:v>101.0722682008448</c:v>
                </c:pt>
                <c:pt idx="3">
                  <c:v>101.03595252202831</c:v>
                </c:pt>
                <c:pt idx="4">
                  <c:v>101.40675471625984</c:v>
                </c:pt>
                <c:pt idx="5">
                  <c:v>100.47783787916433</c:v>
                </c:pt>
                <c:pt idx="6">
                  <c:v>100.12806055161602</c:v>
                </c:pt>
                <c:pt idx="7">
                  <c:v>100.10321298189947</c:v>
                </c:pt>
                <c:pt idx="8">
                  <c:v>100.86201953401246</c:v>
                </c:pt>
                <c:pt idx="9">
                  <c:v>101.11814063724457</c:v>
                </c:pt>
                <c:pt idx="10">
                  <c:v>101.6055352739922</c:v>
                </c:pt>
                <c:pt idx="11">
                  <c:v>101.56921959517571</c:v>
                </c:pt>
                <c:pt idx="12">
                  <c:v>100.44725625489781</c:v>
                </c:pt>
                <c:pt idx="13">
                  <c:v>99.770637818001077</c:v>
                </c:pt>
                <c:pt idx="14">
                  <c:v>100.99008008562852</c:v>
                </c:pt>
                <c:pt idx="15">
                  <c:v>101.25575794644389</c:v>
                </c:pt>
                <c:pt idx="16">
                  <c:v>101.01875035837837</c:v>
                </c:pt>
                <c:pt idx="17">
                  <c:v>100.49695139433089</c:v>
                </c:pt>
                <c:pt idx="18">
                  <c:v>100.23891893958215</c:v>
                </c:pt>
                <c:pt idx="19">
                  <c:v>100.63839140656356</c:v>
                </c:pt>
                <c:pt idx="20">
                  <c:v>100.51224220646417</c:v>
                </c:pt>
              </c:numCache>
            </c:numRef>
          </c:val>
          <c:smooth val="0"/>
          <c:extLst>
            <c:ext xmlns:c16="http://schemas.microsoft.com/office/drawing/2014/chart" uri="{C3380CC4-5D6E-409C-BE32-E72D297353CC}">
              <c16:uniqueId val="{00000001-A028-4A39-AF4B-406AACB02AA5}"/>
            </c:ext>
          </c:extLst>
        </c:ser>
        <c:dLbls>
          <c:showLegendKey val="0"/>
          <c:showVal val="0"/>
          <c:showCatName val="0"/>
          <c:showSerName val="0"/>
          <c:showPercent val="0"/>
          <c:showBubbleSize val="0"/>
        </c:dLbls>
        <c:smooth val="0"/>
        <c:axId val="538302400"/>
        <c:axId val="538303184"/>
      </c:lineChart>
      <c:dateAx>
        <c:axId val="538302400"/>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8303184"/>
        <c:crosses val="autoZero"/>
        <c:auto val="1"/>
        <c:lblOffset val="100"/>
        <c:baseTimeUnit val="days"/>
        <c:majorUnit val="1"/>
        <c:majorTimeUnit val="days"/>
        <c:minorUnit val="1"/>
        <c:minorTimeUnit val="days"/>
      </c:dateAx>
      <c:valAx>
        <c:axId val="538303184"/>
        <c:scaling>
          <c:orientation val="minMax"/>
          <c:max val="103"/>
          <c:min val="9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830240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'F11'!$B$3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'F11'!$A$5:$A$16</c:f>
              <c:strCache>
                <c:ptCount val="12"/>
                <c:pt idx="0">
                  <c:v>Aug-20</c:v>
                </c:pt>
                <c:pt idx="1">
                  <c:v>Sep-20</c:v>
                </c:pt>
                <c:pt idx="2">
                  <c:v>Oct-20</c:v>
                </c:pt>
                <c:pt idx="3">
                  <c:v>Nov-20</c:v>
                </c:pt>
                <c:pt idx="4">
                  <c:v>Dec-20</c:v>
                </c:pt>
                <c:pt idx="5">
                  <c:v>Jan-21</c:v>
                </c:pt>
                <c:pt idx="6">
                  <c:v>Feb-21</c:v>
                </c:pt>
                <c:pt idx="7">
                  <c:v>Mar-21</c:v>
                </c:pt>
                <c:pt idx="8">
                  <c:v>Apr-21</c:v>
                </c:pt>
                <c:pt idx="9">
                  <c:v>May-21</c:v>
                </c:pt>
                <c:pt idx="10">
                  <c:v>Jun-21</c:v>
                </c:pt>
                <c:pt idx="11">
                  <c:v>Jul-21</c:v>
                </c:pt>
              </c:strCache>
            </c:strRef>
          </c:cat>
          <c:val>
            <c:numRef>
              <c:f>'F11'!$C$5:$C$16</c:f>
              <c:numCache>
                <c:formatCode>#,##0;\-#,##0;0</c:formatCode>
                <c:ptCount val="12"/>
                <c:pt idx="0">
                  <c:v>53915.519999999997</c:v>
                </c:pt>
                <c:pt idx="1">
                  <c:v>50693.919999999998</c:v>
                </c:pt>
                <c:pt idx="2">
                  <c:v>42448.36</c:v>
                </c:pt>
                <c:pt idx="3">
                  <c:v>35255.333224302012</c:v>
                </c:pt>
                <c:pt idx="4">
                  <c:v>34626.160000000003</c:v>
                </c:pt>
                <c:pt idx="5">
                  <c:v>48384.845524290002</c:v>
                </c:pt>
                <c:pt idx="6">
                  <c:v>43534.32</c:v>
                </c:pt>
                <c:pt idx="7">
                  <c:v>64043.87</c:v>
                </c:pt>
                <c:pt idx="8">
                  <c:v>60888.553099999997</c:v>
                </c:pt>
                <c:pt idx="9">
                  <c:v>54135.76</c:v>
                </c:pt>
                <c:pt idx="10">
                  <c:v>61390.57</c:v>
                </c:pt>
                <c:pt idx="11">
                  <c:v>48404.689310000002</c:v>
                </c:pt>
              </c:numCache>
            </c:numRef>
          </c:val>
          <c:extLst>
            <c:ext xmlns:c16="http://schemas.microsoft.com/office/drawing/2014/chart" uri="{C3380CC4-5D6E-409C-BE32-E72D297353CC}">
              <c16:uniqueId val="{00000000-D7E7-46A5-A8E6-AD2B560347ED}"/>
            </c:ext>
          </c:extLst>
        </c:ser>
        <c:ser>
          <c:idx val="1"/>
          <c:order val="1"/>
          <c:tx>
            <c:strRef>
              <c:f>'F11'!$D$3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'F11'!$A$5:$A$16</c:f>
              <c:strCache>
                <c:ptCount val="12"/>
                <c:pt idx="0">
                  <c:v>Aug-20</c:v>
                </c:pt>
                <c:pt idx="1">
                  <c:v>Sep-20</c:v>
                </c:pt>
                <c:pt idx="2">
                  <c:v>Oct-20</c:v>
                </c:pt>
                <c:pt idx="3">
                  <c:v>Nov-20</c:v>
                </c:pt>
                <c:pt idx="4">
                  <c:v>Dec-20</c:v>
                </c:pt>
                <c:pt idx="5">
                  <c:v>Jan-21</c:v>
                </c:pt>
                <c:pt idx="6">
                  <c:v>Feb-21</c:v>
                </c:pt>
                <c:pt idx="7">
                  <c:v>Mar-21</c:v>
                </c:pt>
                <c:pt idx="8">
                  <c:v>Apr-21</c:v>
                </c:pt>
                <c:pt idx="9">
                  <c:v>May-21</c:v>
                </c:pt>
                <c:pt idx="10">
                  <c:v>Jun-21</c:v>
                </c:pt>
                <c:pt idx="11">
                  <c:v>Jul-21</c:v>
                </c:pt>
              </c:strCache>
            </c:strRef>
          </c:cat>
          <c:val>
            <c:numRef>
              <c:f>'F11'!$E$5:$E$16</c:f>
              <c:numCache>
                <c:formatCode>#,##0</c:formatCode>
                <c:ptCount val="12"/>
                <c:pt idx="0" formatCode="0\,00\,000;\-0\,00\,000;0">
                  <c:v>89136.44</c:v>
                </c:pt>
                <c:pt idx="1">
                  <c:v>90782.64</c:v>
                </c:pt>
                <c:pt idx="2">
                  <c:v>88404.000000000015</c:v>
                </c:pt>
                <c:pt idx="3">
                  <c:v>79665.3</c:v>
                </c:pt>
                <c:pt idx="4">
                  <c:v>76874.000000000015</c:v>
                </c:pt>
                <c:pt idx="5">
                  <c:v>83618.37999999999</c:v>
                </c:pt>
                <c:pt idx="6">
                  <c:v>75565.039999999994</c:v>
                </c:pt>
                <c:pt idx="7">
                  <c:v>95400.379999999976</c:v>
                </c:pt>
                <c:pt idx="8">
                  <c:v>90992.76</c:v>
                </c:pt>
                <c:pt idx="9">
                  <c:v>79923.94</c:v>
                </c:pt>
                <c:pt idx="10">
                  <c:v>91924.45</c:v>
                </c:pt>
                <c:pt idx="11">
                  <c:v>66672.289999999994</c:v>
                </c:pt>
              </c:numCache>
            </c:numRef>
          </c:val>
          <c:extLst>
            <c:ext xmlns:c16="http://schemas.microsoft.com/office/drawing/2014/chart" uri="{C3380CC4-5D6E-409C-BE32-E72D297353CC}">
              <c16:uniqueId val="{00000001-D7E7-46A5-A8E6-AD2B560347ED}"/>
            </c:ext>
          </c:extLst>
        </c:ser>
        <c:dLbls>
          <c:showLegendKey val="0"/>
          <c:showVal val="0"/>
          <c:showCatName val="0"/>
          <c:showSerName val="0"/>
          <c:showPercent val="0"/>
          <c:showBubbleSize val="0"/>
        </c:dLbls>
        <c:gapWidth val="219"/>
        <c:overlap val="-27"/>
        <c:axId val="517394832"/>
        <c:axId val="517392872"/>
      </c:barChart>
      <c:catAx>
        <c:axId val="5173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2872"/>
        <c:crosses val="autoZero"/>
        <c:auto val="1"/>
        <c:lblAlgn val="ctr"/>
        <c:lblOffset val="100"/>
        <c:noMultiLvlLbl val="1"/>
      </c:catAx>
      <c:valAx>
        <c:axId val="517392872"/>
        <c:scaling>
          <c:orientation val="minMax"/>
          <c:min val="30000"/>
        </c:scaling>
        <c:delete val="1"/>
        <c:axPos val="l"/>
        <c:numFmt formatCode="#,##0;\-#,##0;0" sourceLinked="1"/>
        <c:majorTickMark val="none"/>
        <c:minorTickMark val="none"/>
        <c:tickLblPos val="nextTo"/>
        <c:crossAx val="51739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'F12'!$B$2</c:f>
              <c:strCache>
                <c:ptCount val="1"/>
                <c:pt idx="0">
                  <c:v>Equity</c:v>
                </c:pt>
              </c:strCache>
            </c:strRef>
          </c:tx>
          <c:spPr>
            <a:solidFill>
              <a:schemeClr val="accent1"/>
            </a:solidFill>
            <a:ln>
              <a:noFill/>
            </a:ln>
            <a:effectLst/>
          </c:spPr>
          <c:invertIfNegative val="0"/>
          <c:cat>
            <c:numRef>
              <c:f>'F12'!$A$3:$A$14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44326</c:v>
                </c:pt>
                <c:pt idx="10">
                  <c:v>44357</c:v>
                </c:pt>
                <c:pt idx="11">
                  <c:v>44387</c:v>
                </c:pt>
              </c:numCache>
            </c:numRef>
          </c:cat>
          <c:val>
            <c:numRef>
              <c:f>'F12'!$B$3:$B$14</c:f>
              <c:numCache>
                <c:formatCode>#,##0;\-#,##0;0</c:formatCode>
                <c:ptCount val="12"/>
                <c:pt idx="0">
                  <c:v>-9213.44</c:v>
                </c:pt>
                <c:pt idx="1">
                  <c:v>-4134.37</c:v>
                </c:pt>
                <c:pt idx="2">
                  <c:v>-14491.79</c:v>
                </c:pt>
                <c:pt idx="3">
                  <c:v>-30760.07</c:v>
                </c:pt>
                <c:pt idx="4">
                  <c:v>-26427.83</c:v>
                </c:pt>
                <c:pt idx="5">
                  <c:v>-13031.78</c:v>
                </c:pt>
                <c:pt idx="6">
                  <c:v>-16306</c:v>
                </c:pt>
                <c:pt idx="7">
                  <c:v>4772.83</c:v>
                </c:pt>
                <c:pt idx="8">
                  <c:v>5526.36</c:v>
                </c:pt>
                <c:pt idx="9" formatCode="[&gt;9999999]##\,##\,##\,##0;[&gt;99999]##\,##\,##0;##,##0">
                  <c:v>475.75</c:v>
                </c:pt>
                <c:pt idx="10" formatCode="[&gt;9999999]##\,##\,##\,##0;[&gt;99999]##\,##\,##0;##,##0">
                  <c:v>6437.08</c:v>
                </c:pt>
                <c:pt idx="11" formatCode="[&gt;9999999]##\,##\,##\,##0;[&gt;99999]##\,##\,##0;##,##0">
                  <c:v>21502.37</c:v>
                </c:pt>
              </c:numCache>
            </c:numRef>
          </c:val>
          <c:extLst>
            <c:ext xmlns:c16="http://schemas.microsoft.com/office/drawing/2014/chart" uri="{C3380CC4-5D6E-409C-BE32-E72D297353CC}">
              <c16:uniqueId val="{00000000-4C9E-4847-A1AE-9975A681376B}"/>
            </c:ext>
          </c:extLst>
        </c:ser>
        <c:ser>
          <c:idx val="1"/>
          <c:order val="1"/>
          <c:tx>
            <c:strRef>
              <c:f>'F12'!$C$2</c:f>
              <c:strCache>
                <c:ptCount val="1"/>
                <c:pt idx="0">
                  <c:v>Debt</c:v>
                </c:pt>
              </c:strCache>
            </c:strRef>
          </c:tx>
          <c:spPr>
            <a:solidFill>
              <a:schemeClr val="accent2"/>
            </a:solidFill>
            <a:ln>
              <a:noFill/>
            </a:ln>
            <a:effectLst/>
          </c:spPr>
          <c:invertIfNegative val="0"/>
          <c:cat>
            <c:numRef>
              <c:f>'F12'!$A$3:$A$14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44326</c:v>
                </c:pt>
                <c:pt idx="10">
                  <c:v>44357</c:v>
                </c:pt>
                <c:pt idx="11">
                  <c:v>44387</c:v>
                </c:pt>
              </c:numCache>
            </c:numRef>
          </c:cat>
          <c:val>
            <c:numRef>
              <c:f>'F12'!$C$3:$C$14</c:f>
              <c:numCache>
                <c:formatCode>#,##0;\-#,##0;0</c:formatCode>
                <c:ptCount val="12"/>
                <c:pt idx="0">
                  <c:v>25780.28</c:v>
                </c:pt>
                <c:pt idx="1">
                  <c:v>17004.97</c:v>
                </c:pt>
                <c:pt idx="2">
                  <c:v>31975.11</c:v>
                </c:pt>
                <c:pt idx="3">
                  <c:v>20349.349999999999</c:v>
                </c:pt>
                <c:pt idx="4">
                  <c:v>23368.42</c:v>
                </c:pt>
                <c:pt idx="5">
                  <c:v>11831.74</c:v>
                </c:pt>
                <c:pt idx="6">
                  <c:v>8161.78</c:v>
                </c:pt>
                <c:pt idx="7">
                  <c:v>15661.48</c:v>
                </c:pt>
                <c:pt idx="8">
                  <c:v>21588.400000000001</c:v>
                </c:pt>
                <c:pt idx="9" formatCode="[&gt;9999999]##\,##\,##\,##0;[&gt;99999]##\,##\,##0;##,##0">
                  <c:v>4238.12</c:v>
                </c:pt>
                <c:pt idx="10" formatCode="[&gt;9999999]##\,##\,##\,##0;[&gt;99999]##\,##\,##0;##,##0">
                  <c:v>6449.01</c:v>
                </c:pt>
                <c:pt idx="11" formatCode="[&gt;9999999]##\,##\,##\,##0;[&gt;99999]##\,##\,##0;##,##0">
                  <c:v>15620.86</c:v>
                </c:pt>
              </c:numCache>
            </c:numRef>
          </c:val>
          <c:extLst>
            <c:ext xmlns:c16="http://schemas.microsoft.com/office/drawing/2014/chart" uri="{C3380CC4-5D6E-409C-BE32-E72D297353CC}">
              <c16:uniqueId val="{00000001-4C9E-4847-A1AE-9975A681376B}"/>
            </c:ext>
          </c:extLst>
        </c:ser>
        <c:dLbls>
          <c:showLegendKey val="0"/>
          <c:showVal val="0"/>
          <c:showCatName val="0"/>
          <c:showSerName val="0"/>
          <c:showPercent val="0"/>
          <c:showBubbleSize val="0"/>
        </c:dLbls>
        <c:gapWidth val="219"/>
        <c:overlap val="-27"/>
        <c:axId val="517394440"/>
        <c:axId val="517391304"/>
      </c:barChart>
      <c:lineChart>
        <c:grouping val="standard"/>
        <c:varyColors val="0"/>
        <c:ser>
          <c:idx val="2"/>
          <c:order val="2"/>
          <c:tx>
            <c:strRef>
              <c:f>'F12'!$D$2</c:f>
              <c:strCache>
                <c:ptCount val="1"/>
                <c:pt idx="0">
                  <c:v>Total</c:v>
                </c:pt>
              </c:strCache>
            </c:strRef>
          </c:tx>
          <c:spPr>
            <a:ln w="28575" cap="rnd">
              <a:solidFill>
                <a:schemeClr val="accent3"/>
              </a:solidFill>
              <a:round/>
            </a:ln>
            <a:effectLst/>
          </c:spPr>
          <c:marker>
            <c:symbol val="none"/>
          </c:marker>
          <c:cat>
            <c:numRef>
              <c:f>'F12'!$A$3:$A$14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44326</c:v>
                </c:pt>
                <c:pt idx="10">
                  <c:v>44357</c:v>
                </c:pt>
                <c:pt idx="11">
                  <c:v>44387</c:v>
                </c:pt>
              </c:numCache>
            </c:numRef>
          </c:cat>
          <c:val>
            <c:numRef>
              <c:f>'F12'!$D$3:$D$14</c:f>
              <c:numCache>
                <c:formatCode>[&gt;9999999]##\,##\,##\,##0;[&gt;99999]##\,##\,##0;##,##0</c:formatCode>
                <c:ptCount val="12"/>
                <c:pt idx="0">
                  <c:v>16566.839999999997</c:v>
                </c:pt>
                <c:pt idx="1">
                  <c:v>12870.600000000002</c:v>
                </c:pt>
                <c:pt idx="2">
                  <c:v>17483.32</c:v>
                </c:pt>
                <c:pt idx="3">
                  <c:v>-10410.720000000001</c:v>
                </c:pt>
                <c:pt idx="4">
                  <c:v>-3059.4100000000035</c:v>
                </c:pt>
                <c:pt idx="5">
                  <c:v>-1200.0400000000009</c:v>
                </c:pt>
                <c:pt idx="6">
                  <c:v>-8144.22</c:v>
                </c:pt>
                <c:pt idx="7">
                  <c:v>20434.309999999998</c:v>
                </c:pt>
                <c:pt idx="8">
                  <c:v>27114.760000000002</c:v>
                </c:pt>
                <c:pt idx="9">
                  <c:v>4713.87</c:v>
                </c:pt>
                <c:pt idx="10">
                  <c:v>12886.09</c:v>
                </c:pt>
                <c:pt idx="11">
                  <c:v>37123.229999999996</c:v>
                </c:pt>
              </c:numCache>
            </c:numRef>
          </c:val>
          <c:smooth val="0"/>
          <c:extLst>
            <c:ext xmlns:c16="http://schemas.microsoft.com/office/drawing/2014/chart" uri="{C3380CC4-5D6E-409C-BE32-E72D297353CC}">
              <c16:uniqueId val="{00000002-4C9E-4847-A1AE-9975A681376B}"/>
            </c:ext>
          </c:extLst>
        </c:ser>
        <c:dLbls>
          <c:showLegendKey val="0"/>
          <c:showVal val="0"/>
          <c:showCatName val="0"/>
          <c:showSerName val="0"/>
          <c:showPercent val="0"/>
          <c:showBubbleSize val="0"/>
        </c:dLbls>
        <c:marker val="1"/>
        <c:smooth val="0"/>
        <c:axId val="517394440"/>
        <c:axId val="517391304"/>
      </c:lineChart>
      <c:dateAx>
        <c:axId val="517394440"/>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1304"/>
        <c:crosses val="autoZero"/>
        <c:auto val="1"/>
        <c:lblOffset val="100"/>
        <c:baseTimeUnit val="months"/>
      </c:dateAx>
      <c:valAx>
        <c:axId val="5173913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4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 13'!$B$3</c:f>
              <c:strCache>
                <c:ptCount val="1"/>
                <c:pt idx="0">
                  <c:v>Equity (LHS)</c:v>
                </c:pt>
              </c:strCache>
            </c:strRef>
          </c:tx>
          <c:spPr>
            <a:solidFill>
              <a:schemeClr val="accent1"/>
            </a:solidFill>
            <a:ln>
              <a:noFill/>
            </a:ln>
            <a:effectLst/>
          </c:spPr>
          <c:invertIfNegative val="0"/>
          <c:cat>
            <c:numRef>
              <c:f>'F 13'!$A$4:$A$15</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 13'!$B$4:$B$15</c:f>
              <c:numCache>
                <c:formatCode>#,##0</c:formatCode>
                <c:ptCount val="12"/>
                <c:pt idx="0">
                  <c:v>47080</c:v>
                </c:pt>
                <c:pt idx="1">
                  <c:v>-7783</c:v>
                </c:pt>
                <c:pt idx="2">
                  <c:v>19541</c:v>
                </c:pt>
                <c:pt idx="3">
                  <c:v>60358</c:v>
                </c:pt>
                <c:pt idx="4">
                  <c:v>62016</c:v>
                </c:pt>
                <c:pt idx="5">
                  <c:v>19473</c:v>
                </c:pt>
                <c:pt idx="6">
                  <c:v>25787</c:v>
                </c:pt>
                <c:pt idx="7">
                  <c:v>10482</c:v>
                </c:pt>
                <c:pt idx="8">
                  <c:v>-9659</c:v>
                </c:pt>
                <c:pt idx="9">
                  <c:v>-2954</c:v>
                </c:pt>
                <c:pt idx="10">
                  <c:v>17215</c:v>
                </c:pt>
                <c:pt idx="11">
                  <c:v>-11308.36</c:v>
                </c:pt>
              </c:numCache>
            </c:numRef>
          </c:val>
          <c:extLst>
            <c:ext xmlns:c16="http://schemas.microsoft.com/office/drawing/2014/chart" uri="{C3380CC4-5D6E-409C-BE32-E72D297353CC}">
              <c16:uniqueId val="{00000000-13B8-43E3-885D-A8F0BF1A05F3}"/>
            </c:ext>
          </c:extLst>
        </c:ser>
        <c:ser>
          <c:idx val="1"/>
          <c:order val="1"/>
          <c:tx>
            <c:strRef>
              <c:f>'F 13'!$C$3</c:f>
              <c:strCache>
                <c:ptCount val="1"/>
                <c:pt idx="0">
                  <c:v>Debt (LHS)</c:v>
                </c:pt>
              </c:strCache>
            </c:strRef>
          </c:tx>
          <c:spPr>
            <a:solidFill>
              <a:schemeClr val="accent2"/>
            </a:solidFill>
            <a:ln>
              <a:noFill/>
            </a:ln>
            <a:effectLst/>
          </c:spPr>
          <c:invertIfNegative val="0"/>
          <c:cat>
            <c:numRef>
              <c:f>'F 13'!$A$4:$A$15</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 13'!$C$4:$C$15</c:f>
              <c:numCache>
                <c:formatCode>#,##0</c:formatCode>
                <c:ptCount val="12"/>
                <c:pt idx="0">
                  <c:v>-3310</c:v>
                </c:pt>
                <c:pt idx="1">
                  <c:v>3958</c:v>
                </c:pt>
                <c:pt idx="2">
                  <c:v>1641</c:v>
                </c:pt>
                <c:pt idx="3">
                  <c:v>-1806</c:v>
                </c:pt>
                <c:pt idx="4">
                  <c:v>4079</c:v>
                </c:pt>
                <c:pt idx="5">
                  <c:v>-2518</c:v>
                </c:pt>
                <c:pt idx="6">
                  <c:v>-6488</c:v>
                </c:pt>
                <c:pt idx="7">
                  <c:v>-6492</c:v>
                </c:pt>
                <c:pt idx="8">
                  <c:v>-118</c:v>
                </c:pt>
                <c:pt idx="9">
                  <c:v>-1706</c:v>
                </c:pt>
                <c:pt idx="10">
                  <c:v>-4829</c:v>
                </c:pt>
                <c:pt idx="11">
                  <c:v>-781.55</c:v>
                </c:pt>
              </c:numCache>
            </c:numRef>
          </c:val>
          <c:extLst>
            <c:ext xmlns:c16="http://schemas.microsoft.com/office/drawing/2014/chart" uri="{C3380CC4-5D6E-409C-BE32-E72D297353CC}">
              <c16:uniqueId val="{00000001-13B8-43E3-885D-A8F0BF1A05F3}"/>
            </c:ext>
          </c:extLst>
        </c:ser>
        <c:dLbls>
          <c:showLegendKey val="0"/>
          <c:showVal val="0"/>
          <c:showCatName val="0"/>
          <c:showSerName val="0"/>
          <c:showPercent val="0"/>
          <c:showBubbleSize val="0"/>
        </c:dLbls>
        <c:gapWidth val="219"/>
        <c:overlap val="-27"/>
        <c:axId val="509533688"/>
        <c:axId val="509536824"/>
      </c:barChart>
      <c:barChart>
        <c:barDir val="col"/>
        <c:grouping val="clustered"/>
        <c:varyColors val="0"/>
        <c:ser>
          <c:idx val="2"/>
          <c:order val="2"/>
          <c:tx>
            <c:strRef>
              <c:f>'F 13'!$D$3</c:f>
              <c:strCache>
                <c:ptCount val="1"/>
                <c:pt idx="0">
                  <c:v>Debt-VRR (RHS)</c:v>
                </c:pt>
              </c:strCache>
            </c:strRef>
          </c:tx>
          <c:spPr>
            <a:solidFill>
              <a:schemeClr val="accent3"/>
            </a:solidFill>
            <a:ln>
              <a:noFill/>
            </a:ln>
            <a:effectLst/>
          </c:spPr>
          <c:invertIfNegative val="0"/>
          <c:cat>
            <c:numRef>
              <c:f>'F 13'!$A$4:$A$15</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 13'!$D$4:$D$15</c:f>
              <c:numCache>
                <c:formatCode>#,##0</c:formatCode>
                <c:ptCount val="12"/>
                <c:pt idx="0">
                  <c:v>2762</c:v>
                </c:pt>
                <c:pt idx="1">
                  <c:v>406</c:v>
                </c:pt>
                <c:pt idx="2">
                  <c:v>851</c:v>
                </c:pt>
                <c:pt idx="3">
                  <c:v>4399</c:v>
                </c:pt>
                <c:pt idx="4">
                  <c:v>2463</c:v>
                </c:pt>
                <c:pt idx="5">
                  <c:v>-2306</c:v>
                </c:pt>
                <c:pt idx="6">
                  <c:v>4364</c:v>
                </c:pt>
                <c:pt idx="7">
                  <c:v>13314</c:v>
                </c:pt>
                <c:pt idx="8">
                  <c:v>342</c:v>
                </c:pt>
                <c:pt idx="9">
                  <c:v>1994</c:v>
                </c:pt>
                <c:pt idx="10">
                  <c:v>883</c:v>
                </c:pt>
                <c:pt idx="11">
                  <c:v>4817.5</c:v>
                </c:pt>
              </c:numCache>
            </c:numRef>
          </c:val>
          <c:extLst>
            <c:ext xmlns:c16="http://schemas.microsoft.com/office/drawing/2014/chart" uri="{C3380CC4-5D6E-409C-BE32-E72D297353CC}">
              <c16:uniqueId val="{00000002-13B8-43E3-885D-A8F0BF1A05F3}"/>
            </c:ext>
          </c:extLst>
        </c:ser>
        <c:ser>
          <c:idx val="3"/>
          <c:order val="3"/>
          <c:tx>
            <c:strRef>
              <c:f>'F 13'!$E$3</c:f>
              <c:strCache>
                <c:ptCount val="1"/>
                <c:pt idx="0">
                  <c:v>Hybrid  (RHS)</c:v>
                </c:pt>
              </c:strCache>
            </c:strRef>
          </c:tx>
          <c:spPr>
            <a:solidFill>
              <a:schemeClr val="accent4"/>
            </a:solidFill>
            <a:ln>
              <a:noFill/>
            </a:ln>
            <a:effectLst/>
          </c:spPr>
          <c:invertIfNegative val="0"/>
          <c:cat>
            <c:numRef>
              <c:f>'F 13'!$A$4:$A$15</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 13'!$E$4:$E$15</c:f>
              <c:numCache>
                <c:formatCode>#,##0</c:formatCode>
                <c:ptCount val="12"/>
                <c:pt idx="0">
                  <c:v>3347</c:v>
                </c:pt>
                <c:pt idx="1">
                  <c:v>2222</c:v>
                </c:pt>
                <c:pt idx="2">
                  <c:v>-207</c:v>
                </c:pt>
                <c:pt idx="3">
                  <c:v>-169</c:v>
                </c:pt>
                <c:pt idx="4">
                  <c:v>2489</c:v>
                </c:pt>
                <c:pt idx="5">
                  <c:v>-17</c:v>
                </c:pt>
                <c:pt idx="6">
                  <c:v>350</c:v>
                </c:pt>
                <c:pt idx="7">
                  <c:v>-281</c:v>
                </c:pt>
                <c:pt idx="8">
                  <c:v>599</c:v>
                </c:pt>
                <c:pt idx="9">
                  <c:v>709</c:v>
                </c:pt>
                <c:pt idx="10">
                  <c:v>-295</c:v>
                </c:pt>
                <c:pt idx="11">
                  <c:v>-137.58000000000001</c:v>
                </c:pt>
              </c:numCache>
            </c:numRef>
          </c:val>
          <c:extLst>
            <c:ext xmlns:c16="http://schemas.microsoft.com/office/drawing/2014/chart" uri="{C3380CC4-5D6E-409C-BE32-E72D297353CC}">
              <c16:uniqueId val="{00000003-13B8-43E3-885D-A8F0BF1A05F3}"/>
            </c:ext>
          </c:extLst>
        </c:ser>
        <c:dLbls>
          <c:showLegendKey val="0"/>
          <c:showVal val="0"/>
          <c:showCatName val="0"/>
          <c:showSerName val="0"/>
          <c:showPercent val="0"/>
          <c:showBubbleSize val="0"/>
        </c:dLbls>
        <c:gapWidth val="219"/>
        <c:overlap val="-27"/>
        <c:axId val="509533296"/>
        <c:axId val="509534472"/>
      </c:barChart>
      <c:lineChart>
        <c:grouping val="standard"/>
        <c:varyColors val="0"/>
        <c:ser>
          <c:idx val="4"/>
          <c:order val="4"/>
          <c:tx>
            <c:strRef>
              <c:f>'F 13'!$F$3</c:f>
              <c:strCache>
                <c:ptCount val="1"/>
                <c:pt idx="0">
                  <c:v>Total (LHS)</c:v>
                </c:pt>
              </c:strCache>
            </c:strRef>
          </c:tx>
          <c:spPr>
            <a:ln w="28575" cap="rnd">
              <a:solidFill>
                <a:schemeClr val="accent5"/>
              </a:solidFill>
              <a:round/>
            </a:ln>
            <a:effectLst/>
          </c:spPr>
          <c:marker>
            <c:symbol val="none"/>
          </c:marker>
          <c:cat>
            <c:numRef>
              <c:f>'F 13'!$A$4:$A$15</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 13'!$F$4:$F$15</c:f>
              <c:numCache>
                <c:formatCode>#,##0</c:formatCode>
                <c:ptCount val="12"/>
                <c:pt idx="0">
                  <c:v>49879</c:v>
                </c:pt>
                <c:pt idx="1">
                  <c:v>-1196</c:v>
                </c:pt>
                <c:pt idx="2">
                  <c:v>21826</c:v>
                </c:pt>
                <c:pt idx="3">
                  <c:v>62782</c:v>
                </c:pt>
                <c:pt idx="4">
                  <c:v>71046</c:v>
                </c:pt>
                <c:pt idx="5">
                  <c:v>14631</c:v>
                </c:pt>
                <c:pt idx="6">
                  <c:v>24013</c:v>
                </c:pt>
                <c:pt idx="7">
                  <c:v>17023</c:v>
                </c:pt>
                <c:pt idx="8">
                  <c:v>-8836</c:v>
                </c:pt>
                <c:pt idx="9">
                  <c:v>-1958</c:v>
                </c:pt>
                <c:pt idx="10">
                  <c:v>12974</c:v>
                </c:pt>
                <c:pt idx="11">
                  <c:v>-7409.99</c:v>
                </c:pt>
              </c:numCache>
            </c:numRef>
          </c:val>
          <c:smooth val="0"/>
          <c:extLst>
            <c:ext xmlns:c16="http://schemas.microsoft.com/office/drawing/2014/chart" uri="{C3380CC4-5D6E-409C-BE32-E72D297353CC}">
              <c16:uniqueId val="{00000004-13B8-43E3-885D-A8F0BF1A05F3}"/>
            </c:ext>
          </c:extLst>
        </c:ser>
        <c:dLbls>
          <c:showLegendKey val="0"/>
          <c:showVal val="0"/>
          <c:showCatName val="0"/>
          <c:showSerName val="0"/>
          <c:showPercent val="0"/>
          <c:showBubbleSize val="0"/>
        </c:dLbls>
        <c:marker val="1"/>
        <c:smooth val="0"/>
        <c:axId val="509533688"/>
        <c:axId val="509536824"/>
      </c:lineChart>
      <c:dateAx>
        <c:axId val="509533688"/>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6824"/>
        <c:crosses val="autoZero"/>
        <c:auto val="1"/>
        <c:lblOffset val="100"/>
        <c:baseTimeUnit val="months"/>
      </c:dateAx>
      <c:valAx>
        <c:axId val="509536824"/>
        <c:scaling>
          <c:orientation val="minMax"/>
          <c:max val="80000"/>
          <c:min val="-4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3688"/>
        <c:crosses val="autoZero"/>
        <c:crossBetween val="between"/>
      </c:valAx>
      <c:valAx>
        <c:axId val="509534472"/>
        <c:scaling>
          <c:orientation val="minMax"/>
          <c:max val="14000"/>
          <c:min val="-8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3296"/>
        <c:crosses val="max"/>
        <c:crossBetween val="between"/>
      </c:valAx>
      <c:dateAx>
        <c:axId val="509533296"/>
        <c:scaling>
          <c:orientation val="minMax"/>
        </c:scaling>
        <c:delete val="1"/>
        <c:axPos val="b"/>
        <c:numFmt formatCode="[$-409]mmm\-yy" sourceLinked="1"/>
        <c:majorTickMark val="out"/>
        <c:minorTickMark val="none"/>
        <c:tickLblPos val="nextTo"/>
        <c:crossAx val="50953447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'F14'!$I$4:$I$5</c:f>
              <c:strCache>
                <c:ptCount val="2"/>
                <c:pt idx="0">
                  <c:v>Closed Value (RHS)</c:v>
                </c:pt>
              </c:strCache>
            </c:strRef>
          </c:tx>
          <c:spPr>
            <a:solidFill>
              <a:srgbClr val="FF0000"/>
            </a:solidFill>
            <a:ln>
              <a:noFill/>
            </a:ln>
            <a:effectLst/>
          </c:spPr>
          <c:invertIfNegative val="0"/>
          <c:cat>
            <c:numRef>
              <c:f>'F14'!$A$6:$A$17</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44326</c:v>
                </c:pt>
                <c:pt idx="10">
                  <c:v>44357</c:v>
                </c:pt>
                <c:pt idx="11">
                  <c:v>44387</c:v>
                </c:pt>
              </c:numCache>
            </c:numRef>
          </c:cat>
          <c:val>
            <c:numRef>
              <c:f>'F14'!$I$6:$I$17</c:f>
              <c:numCache>
                <c:formatCode>#,##0;\-#,##0;0.0</c:formatCode>
                <c:ptCount val="12"/>
                <c:pt idx="0">
                  <c:v>3861.67</c:v>
                </c:pt>
                <c:pt idx="1">
                  <c:v>3010.3900000000003</c:v>
                </c:pt>
                <c:pt idx="2">
                  <c:v>480.5</c:v>
                </c:pt>
                <c:pt idx="3">
                  <c:v>0</c:v>
                </c:pt>
                <c:pt idx="4">
                  <c:v>47.49</c:v>
                </c:pt>
                <c:pt idx="5">
                  <c:v>140.80000000000001</c:v>
                </c:pt>
                <c:pt idx="6">
                  <c:v>211.18</c:v>
                </c:pt>
                <c:pt idx="7">
                  <c:v>440.03000000000003</c:v>
                </c:pt>
                <c:pt idx="8">
                  <c:v>5974.8600000000006</c:v>
                </c:pt>
                <c:pt idx="9">
                  <c:v>1400.44</c:v>
                </c:pt>
                <c:pt idx="10">
                  <c:v>81.680000000000007</c:v>
                </c:pt>
                <c:pt idx="11">
                  <c:v>8267.1</c:v>
                </c:pt>
              </c:numCache>
            </c:numRef>
          </c:val>
          <c:extLst>
            <c:ext xmlns:c16="http://schemas.microsoft.com/office/drawing/2014/chart" uri="{C3380CC4-5D6E-409C-BE32-E72D297353CC}">
              <c16:uniqueId val="{00000000-B5CB-4582-9C9E-F8213F17CECE}"/>
            </c:ext>
          </c:extLst>
        </c:ser>
        <c:dLbls>
          <c:showLegendKey val="0"/>
          <c:showVal val="0"/>
          <c:showCatName val="0"/>
          <c:showSerName val="0"/>
          <c:showPercent val="0"/>
          <c:showBubbleSize val="0"/>
        </c:dLbls>
        <c:gapWidth val="219"/>
        <c:axId val="509536432"/>
        <c:axId val="509535256"/>
      </c:barChart>
      <c:lineChart>
        <c:grouping val="standard"/>
        <c:varyColors val="0"/>
        <c:ser>
          <c:idx val="0"/>
          <c:order val="0"/>
          <c:tx>
            <c:strRef>
              <c:f>'F14'!$H$4:$H$5</c:f>
              <c:strCache>
                <c:ptCount val="2"/>
                <c:pt idx="0">
                  <c:v> Open Offers (LHS)</c:v>
                </c:pt>
              </c:strCache>
            </c:strRef>
          </c:tx>
          <c:spPr>
            <a:ln w="28575" cap="rnd">
              <a:solidFill>
                <a:srgbClr val="00B050"/>
              </a:solidFill>
              <a:round/>
            </a:ln>
            <a:effectLst/>
          </c:spPr>
          <c:marker>
            <c:symbol val="none"/>
          </c:marker>
          <c:cat>
            <c:numRef>
              <c:f>'F14'!$A$6:$A$17</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44326</c:v>
                </c:pt>
                <c:pt idx="10">
                  <c:v>44357</c:v>
                </c:pt>
                <c:pt idx="11">
                  <c:v>44387</c:v>
                </c:pt>
              </c:numCache>
            </c:numRef>
          </c:cat>
          <c:val>
            <c:numRef>
              <c:f>'F14'!$H$6:$H$17</c:f>
              <c:numCache>
                <c:formatCode>General</c:formatCode>
                <c:ptCount val="12"/>
                <c:pt idx="0">
                  <c:v>9</c:v>
                </c:pt>
                <c:pt idx="1">
                  <c:v>6</c:v>
                </c:pt>
                <c:pt idx="2">
                  <c:v>6</c:v>
                </c:pt>
                <c:pt idx="3">
                  <c:v>0</c:v>
                </c:pt>
                <c:pt idx="4">
                  <c:v>4</c:v>
                </c:pt>
                <c:pt idx="5">
                  <c:v>3</c:v>
                </c:pt>
                <c:pt idx="6">
                  <c:v>5</c:v>
                </c:pt>
                <c:pt idx="7">
                  <c:v>3</c:v>
                </c:pt>
                <c:pt idx="8">
                  <c:v>6</c:v>
                </c:pt>
                <c:pt idx="9">
                  <c:v>3</c:v>
                </c:pt>
                <c:pt idx="10">
                  <c:v>6</c:v>
                </c:pt>
                <c:pt idx="11">
                  <c:v>5</c:v>
                </c:pt>
              </c:numCache>
            </c:numRef>
          </c:val>
          <c:smooth val="0"/>
          <c:extLst>
            <c:ext xmlns:c16="http://schemas.microsoft.com/office/drawing/2014/chart" uri="{C3380CC4-5D6E-409C-BE32-E72D297353CC}">
              <c16:uniqueId val="{00000001-B5CB-4582-9C9E-F8213F17CECE}"/>
            </c:ext>
          </c:extLst>
        </c:ser>
        <c:dLbls>
          <c:showLegendKey val="0"/>
          <c:showVal val="0"/>
          <c:showCatName val="0"/>
          <c:showSerName val="0"/>
          <c:showPercent val="0"/>
          <c:showBubbleSize val="0"/>
        </c:dLbls>
        <c:marker val="1"/>
        <c:smooth val="0"/>
        <c:axId val="509536040"/>
        <c:axId val="509534080"/>
      </c:lineChart>
      <c:dateAx>
        <c:axId val="50953604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4080"/>
        <c:crosses val="autoZero"/>
        <c:auto val="1"/>
        <c:lblOffset val="100"/>
        <c:baseTimeUnit val="months"/>
      </c:dateAx>
      <c:valAx>
        <c:axId val="5095340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6040"/>
        <c:crosses val="autoZero"/>
        <c:crossBetween val="between"/>
        <c:majorUnit val="2"/>
      </c:valAx>
      <c:valAx>
        <c:axId val="509535256"/>
        <c:scaling>
          <c:orientation val="minMax"/>
          <c:max val="9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IN">
                    <a:latin typeface="Rupee Foradian" panose="020B0603030804020204" pitchFamily="34" charset="0"/>
                  </a:rPr>
                  <a:t>`</a:t>
                </a:r>
                <a:r>
                  <a:rPr lang="en-IN"/>
                  <a:t> Crore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9536432"/>
        <c:crosses val="max"/>
        <c:crossBetween val="between"/>
      </c:valAx>
      <c:dateAx>
        <c:axId val="509536432"/>
        <c:scaling>
          <c:orientation val="minMax"/>
        </c:scaling>
        <c:delete val="1"/>
        <c:axPos val="b"/>
        <c:numFmt formatCode="[$-409]mmm\-yy" sourceLinked="1"/>
        <c:majorTickMark val="out"/>
        <c:minorTickMark val="none"/>
        <c:tickLblPos val="nextTo"/>
        <c:crossAx val="509535256"/>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IN" sz="1050" b="1">
                <a:solidFill>
                  <a:schemeClr val="accent1"/>
                </a:solidFill>
              </a:rPr>
              <a:t>Movement of Domestic Indices</a:t>
            </a:r>
          </a:p>
        </c:rich>
      </c:tx>
      <c:layout>
        <c:manualLayout>
          <c:xMode val="edge"/>
          <c:yMode val="edge"/>
          <c:x val="0.31095560376719084"/>
          <c:y val="2.8993334468280511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3.0445248133130945E-2"/>
          <c:y val="9.5263813252921672E-2"/>
          <c:w val="0.93910950373373814"/>
          <c:h val="0.68072641190869021"/>
        </c:manualLayout>
      </c:layout>
      <c:lineChart>
        <c:grouping val="standard"/>
        <c:varyColors val="0"/>
        <c:ser>
          <c:idx val="0"/>
          <c:order val="0"/>
          <c:tx>
            <c:strRef>
              <c:f>Graph!$D$1</c:f>
              <c:strCache>
                <c:ptCount val="1"/>
                <c:pt idx="0">
                  <c:v>MCX iCOMDEX</c:v>
                </c:pt>
              </c:strCache>
            </c:strRef>
          </c:tx>
          <c:spPr>
            <a:ln w="28575" cap="rnd">
              <a:solidFill>
                <a:schemeClr val="accent1"/>
              </a:solidFill>
              <a:round/>
            </a:ln>
            <a:effectLst/>
          </c:spPr>
          <c:marker>
            <c:symbol val="none"/>
          </c:marker>
          <c:dPt>
            <c:idx val="22"/>
            <c:marker>
              <c:symbol val="triangl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4BBA-410E-BA14-0785AD1D71BE}"/>
              </c:ext>
            </c:extLst>
          </c:dPt>
          <c:dLbls>
            <c:dLbl>
              <c:idx val="22"/>
              <c:layout>
                <c:manualLayout>
                  <c:x val="-1.3779527203083286E-2"/>
                  <c:y val="8.484847810001765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BA-410E-BA14-0785AD1D71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Graph!$A$2:$A$24</c:f>
              <c:numCache>
                <c:formatCode>d\-mmm\-yy</c:formatCode>
                <c:ptCount val="23"/>
                <c:pt idx="0">
                  <c:v>44377</c:v>
                </c:pt>
                <c:pt idx="1">
                  <c:v>44378</c:v>
                </c:pt>
                <c:pt idx="2">
                  <c:v>44379</c:v>
                </c:pt>
                <c:pt idx="3">
                  <c:v>44382</c:v>
                </c:pt>
                <c:pt idx="4">
                  <c:v>44383</c:v>
                </c:pt>
                <c:pt idx="5">
                  <c:v>44384</c:v>
                </c:pt>
                <c:pt idx="6">
                  <c:v>44385</c:v>
                </c:pt>
                <c:pt idx="7">
                  <c:v>44386</c:v>
                </c:pt>
                <c:pt idx="8">
                  <c:v>44389</c:v>
                </c:pt>
                <c:pt idx="9">
                  <c:v>44390</c:v>
                </c:pt>
                <c:pt idx="10">
                  <c:v>44391</c:v>
                </c:pt>
                <c:pt idx="11">
                  <c:v>44392</c:v>
                </c:pt>
                <c:pt idx="12">
                  <c:v>44393</c:v>
                </c:pt>
                <c:pt idx="13">
                  <c:v>44396</c:v>
                </c:pt>
                <c:pt idx="14">
                  <c:v>44397</c:v>
                </c:pt>
                <c:pt idx="15">
                  <c:v>44398</c:v>
                </c:pt>
                <c:pt idx="16">
                  <c:v>44399</c:v>
                </c:pt>
                <c:pt idx="17">
                  <c:v>44400</c:v>
                </c:pt>
                <c:pt idx="18">
                  <c:v>44403</c:v>
                </c:pt>
                <c:pt idx="19">
                  <c:v>44404</c:v>
                </c:pt>
                <c:pt idx="20">
                  <c:v>44405</c:v>
                </c:pt>
                <c:pt idx="21">
                  <c:v>44406</c:v>
                </c:pt>
                <c:pt idx="22">
                  <c:v>44407</c:v>
                </c:pt>
              </c:numCache>
            </c:numRef>
          </c:cat>
          <c:val>
            <c:numRef>
              <c:f>Graph!$D$2:$D$24</c:f>
              <c:numCache>
                <c:formatCode>_(* #,##0.00_);_(* \(#,##0.00\);_(* "-"??_);_(@_)</c:formatCode>
                <c:ptCount val="23"/>
                <c:pt idx="0">
                  <c:v>100</c:v>
                </c:pt>
                <c:pt idx="1">
                  <c:v>100.32252120060986</c:v>
                </c:pt>
                <c:pt idx="2">
                  <c:v>101.14369758512856</c:v>
                </c:pt>
                <c:pt idx="3">
                  <c:v>101.10242481004518</c:v>
                </c:pt>
                <c:pt idx="4">
                  <c:v>101.46490744338625</c:v>
                </c:pt>
                <c:pt idx="5">
                  <c:v>101.74587979683857</c:v>
                </c:pt>
                <c:pt idx="6">
                  <c:v>101.29022283847644</c:v>
                </c:pt>
                <c:pt idx="7">
                  <c:v>101.7370454904662</c:v>
                </c:pt>
                <c:pt idx="8">
                  <c:v>101.54386405658927</c:v>
                </c:pt>
                <c:pt idx="9">
                  <c:v>101.59486837228597</c:v>
                </c:pt>
                <c:pt idx="10">
                  <c:v>102.3553779185132</c:v>
                </c:pt>
                <c:pt idx="11">
                  <c:v>102.62137336194361</c:v>
                </c:pt>
                <c:pt idx="12">
                  <c:v>101.52371079517729</c:v>
                </c:pt>
                <c:pt idx="13">
                  <c:v>101.13555345894153</c:v>
                </c:pt>
                <c:pt idx="14">
                  <c:v>100.53640804004702</c:v>
                </c:pt>
                <c:pt idx="15">
                  <c:v>100.29988329053067</c:v>
                </c:pt>
                <c:pt idx="16">
                  <c:v>100.49189141809254</c:v>
                </c:pt>
                <c:pt idx="17">
                  <c:v>100.19338848793255</c:v>
                </c:pt>
                <c:pt idx="18">
                  <c:v>100.12340421713898</c:v>
                </c:pt>
                <c:pt idx="19">
                  <c:v>99.846227854706044</c:v>
                </c:pt>
                <c:pt idx="20">
                  <c:v>99.94029941396802</c:v>
                </c:pt>
                <c:pt idx="21">
                  <c:v>101.73014368861281</c:v>
                </c:pt>
                <c:pt idx="22">
                  <c:v>100.98530123259282</c:v>
                </c:pt>
              </c:numCache>
            </c:numRef>
          </c:val>
          <c:smooth val="0"/>
          <c:extLst>
            <c:ext xmlns:c16="http://schemas.microsoft.com/office/drawing/2014/chart" uri="{C3380CC4-5D6E-409C-BE32-E72D297353CC}">
              <c16:uniqueId val="{00000001-4BBA-410E-BA14-0785AD1D71BE}"/>
            </c:ext>
          </c:extLst>
        </c:ser>
        <c:ser>
          <c:idx val="1"/>
          <c:order val="1"/>
          <c:tx>
            <c:strRef>
              <c:f>Graph!$E$1</c:f>
              <c:strCache>
                <c:ptCount val="1"/>
                <c:pt idx="0">
                  <c:v>NKRISHI</c:v>
                </c:pt>
              </c:strCache>
            </c:strRef>
          </c:tx>
          <c:spPr>
            <a:ln w="28575" cap="rnd">
              <a:solidFill>
                <a:schemeClr val="accent2"/>
              </a:solidFill>
              <a:round/>
            </a:ln>
            <a:effectLst/>
          </c:spPr>
          <c:marker>
            <c:symbol val="none"/>
          </c:marker>
          <c:dPt>
            <c:idx val="22"/>
            <c:marker>
              <c:symbol val="square"/>
              <c:size val="8"/>
              <c:spPr>
                <a:solidFill>
                  <a:srgbClr val="C00000"/>
                </a:solidFill>
                <a:ln w="9525">
                  <a:solidFill>
                    <a:schemeClr val="accent2"/>
                  </a:solidFill>
                </a:ln>
                <a:effectLst/>
              </c:spPr>
            </c:marker>
            <c:bubble3D val="0"/>
            <c:extLst>
              <c:ext xmlns:c16="http://schemas.microsoft.com/office/drawing/2014/chart" uri="{C3380CC4-5D6E-409C-BE32-E72D297353CC}">
                <c16:uniqueId val="{00000002-4BBA-410E-BA14-0785AD1D71BE}"/>
              </c:ext>
            </c:extLst>
          </c:dPt>
          <c:dLbls>
            <c:dLbl>
              <c:idx val="22"/>
              <c:layout>
                <c:manualLayout>
                  <c:x val="-1.3779527203083286E-2"/>
                  <c:y val="-8.48484781000176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BA-410E-BA14-0785AD1D71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Graph!$A$2:$A$24</c:f>
              <c:numCache>
                <c:formatCode>d\-mmm\-yy</c:formatCode>
                <c:ptCount val="23"/>
                <c:pt idx="0">
                  <c:v>44377</c:v>
                </c:pt>
                <c:pt idx="1">
                  <c:v>44378</c:v>
                </c:pt>
                <c:pt idx="2">
                  <c:v>44379</c:v>
                </c:pt>
                <c:pt idx="3">
                  <c:v>44382</c:v>
                </c:pt>
                <c:pt idx="4">
                  <c:v>44383</c:v>
                </c:pt>
                <c:pt idx="5">
                  <c:v>44384</c:v>
                </c:pt>
                <c:pt idx="6">
                  <c:v>44385</c:v>
                </c:pt>
                <c:pt idx="7">
                  <c:v>44386</c:v>
                </c:pt>
                <c:pt idx="8">
                  <c:v>44389</c:v>
                </c:pt>
                <c:pt idx="9">
                  <c:v>44390</c:v>
                </c:pt>
                <c:pt idx="10">
                  <c:v>44391</c:v>
                </c:pt>
                <c:pt idx="11">
                  <c:v>44392</c:v>
                </c:pt>
                <c:pt idx="12">
                  <c:v>44393</c:v>
                </c:pt>
                <c:pt idx="13">
                  <c:v>44396</c:v>
                </c:pt>
                <c:pt idx="14">
                  <c:v>44397</c:v>
                </c:pt>
                <c:pt idx="15">
                  <c:v>44398</c:v>
                </c:pt>
                <c:pt idx="16">
                  <c:v>44399</c:v>
                </c:pt>
                <c:pt idx="17">
                  <c:v>44400</c:v>
                </c:pt>
                <c:pt idx="18">
                  <c:v>44403</c:v>
                </c:pt>
                <c:pt idx="19">
                  <c:v>44404</c:v>
                </c:pt>
                <c:pt idx="20">
                  <c:v>44405</c:v>
                </c:pt>
                <c:pt idx="21">
                  <c:v>44406</c:v>
                </c:pt>
                <c:pt idx="22">
                  <c:v>44407</c:v>
                </c:pt>
              </c:numCache>
            </c:numRef>
          </c:cat>
          <c:val>
            <c:numRef>
              <c:f>Graph!$E$2:$E$24</c:f>
              <c:numCache>
                <c:formatCode>_(* #,##0.00_);_(* \(#,##0.00\);_(* "-"??_);_(@_)</c:formatCode>
                <c:ptCount val="23"/>
                <c:pt idx="0">
                  <c:v>100</c:v>
                </c:pt>
                <c:pt idx="1">
                  <c:v>101.05433301287808</c:v>
                </c:pt>
                <c:pt idx="2">
                  <c:v>102.46151895792175</c:v>
                </c:pt>
                <c:pt idx="3">
                  <c:v>101.47585492884835</c:v>
                </c:pt>
                <c:pt idx="4">
                  <c:v>100.88107588450931</c:v>
                </c:pt>
                <c:pt idx="5">
                  <c:v>100.81874557613276</c:v>
                </c:pt>
                <c:pt idx="6">
                  <c:v>99.758073887826541</c:v>
                </c:pt>
                <c:pt idx="7">
                  <c:v>100.60217416567184</c:v>
                </c:pt>
                <c:pt idx="8">
                  <c:v>101.05644590468745</c:v>
                </c:pt>
                <c:pt idx="9">
                  <c:v>101.9702716122421</c:v>
                </c:pt>
                <c:pt idx="10">
                  <c:v>102.13719006518271</c:v>
                </c:pt>
                <c:pt idx="11">
                  <c:v>102.83021857865768</c:v>
                </c:pt>
                <c:pt idx="12">
                  <c:v>103.74932651573576</c:v>
                </c:pt>
                <c:pt idx="13">
                  <c:v>104.01977666733575</c:v>
                </c:pt>
                <c:pt idx="14">
                  <c:v>105.42379327466537</c:v>
                </c:pt>
                <c:pt idx="15">
                  <c:v>105.11953685411538</c:v>
                </c:pt>
                <c:pt idx="16">
                  <c:v>105.2790601857232</c:v>
                </c:pt>
                <c:pt idx="17">
                  <c:v>106.2298614999419</c:v>
                </c:pt>
                <c:pt idx="18">
                  <c:v>106.82147120656687</c:v>
                </c:pt>
                <c:pt idx="19">
                  <c:v>106.02279810262316</c:v>
                </c:pt>
                <c:pt idx="20">
                  <c:v>106.23620017537003</c:v>
                </c:pt>
                <c:pt idx="21">
                  <c:v>108.01102929524495</c:v>
                </c:pt>
                <c:pt idx="22">
                  <c:v>107.91277982610903</c:v>
                </c:pt>
              </c:numCache>
            </c:numRef>
          </c:val>
          <c:smooth val="0"/>
          <c:extLst>
            <c:ext xmlns:c16="http://schemas.microsoft.com/office/drawing/2014/chart" uri="{C3380CC4-5D6E-409C-BE32-E72D297353CC}">
              <c16:uniqueId val="{00000003-4BBA-410E-BA14-0785AD1D71BE}"/>
            </c:ext>
          </c:extLst>
        </c:ser>
        <c:dLbls>
          <c:showLegendKey val="0"/>
          <c:showVal val="0"/>
          <c:showCatName val="0"/>
          <c:showSerName val="0"/>
          <c:showPercent val="0"/>
          <c:showBubbleSize val="0"/>
        </c:dLbls>
        <c:smooth val="0"/>
        <c:axId val="524741200"/>
        <c:axId val="524737280"/>
      </c:lineChart>
      <c:dateAx>
        <c:axId val="524741200"/>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4737280"/>
        <c:crosses val="autoZero"/>
        <c:auto val="1"/>
        <c:lblOffset val="100"/>
        <c:baseTimeUnit val="days"/>
        <c:majorUnit val="2"/>
        <c:majorTimeUnit val="days"/>
      </c:dateAx>
      <c:valAx>
        <c:axId val="524737280"/>
        <c:scaling>
          <c:orientation val="minMax"/>
          <c:max val="110"/>
          <c:min val="96"/>
        </c:scaling>
        <c:delete val="0"/>
        <c:axPos val="l"/>
        <c:majorGridlines>
          <c:spPr>
            <a:ln w="9525" cap="flat" cmpd="sng" algn="ctr">
              <a:solidFill>
                <a:schemeClr val="tx2">
                  <a:lumMod val="20000"/>
                  <a:lumOff val="80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4741200"/>
        <c:crosses val="autoZero"/>
        <c:crossBetween val="between"/>
        <c:majorUnit val="2"/>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49240482366595E-2"/>
          <c:y val="2.3414388003439247E-2"/>
          <c:w val="0.82339242682383995"/>
          <c:h val="0.71480391704760649"/>
        </c:manualLayout>
      </c:layout>
      <c:barChart>
        <c:barDir val="col"/>
        <c:grouping val="clustered"/>
        <c:varyColors val="0"/>
        <c:ser>
          <c:idx val="0"/>
          <c:order val="0"/>
          <c:tx>
            <c:strRef>
              <c:f>Exchange_Wise!$B$2</c:f>
              <c:strCache>
                <c:ptCount val="1"/>
                <c:pt idx="0">
                  <c:v>MCX (LHS)</c:v>
                </c:pt>
              </c:strCache>
            </c:strRef>
          </c:tx>
          <c:spPr>
            <a:solidFill>
              <a:srgbClr val="0070C0"/>
            </a:solidFill>
            <a:ln>
              <a:solidFill>
                <a:sysClr val="windowText" lastClr="000000"/>
              </a:solidFill>
            </a:ln>
            <a:effectLst/>
          </c:spPr>
          <c:invertIfNegative val="0"/>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Exchange_Wise!$B$7:$B$18</c:f>
              <c:numCache>
                <c:formatCode>#,##0</c:formatCode>
                <c:ptCount val="12"/>
                <c:pt idx="0">
                  <c:v>5824.4504842000024</c:v>
                </c:pt>
                <c:pt idx="1">
                  <c:v>6838.5318600000001</c:v>
                </c:pt>
                <c:pt idx="2">
                  <c:v>7096.0901250000006</c:v>
                </c:pt>
                <c:pt idx="3">
                  <c:v>10138.218927400003</c:v>
                </c:pt>
                <c:pt idx="4">
                  <c:v>10747.937155000003</c:v>
                </c:pt>
                <c:pt idx="5">
                  <c:v>12653.105590599998</c:v>
                </c:pt>
                <c:pt idx="6">
                  <c:v>12289.256776399998</c:v>
                </c:pt>
                <c:pt idx="7">
                  <c:v>13909.001715000002</c:v>
                </c:pt>
                <c:pt idx="8">
                  <c:v>12916.562410199997</c:v>
                </c:pt>
                <c:pt idx="9">
                  <c:v>11052.727486600001</c:v>
                </c:pt>
                <c:pt idx="10">
                  <c:v>14355.171816799999</c:v>
                </c:pt>
                <c:pt idx="11">
                  <c:v>11349.876245600002</c:v>
                </c:pt>
              </c:numCache>
            </c:numRef>
          </c:val>
          <c:extLst>
            <c:ext xmlns:c16="http://schemas.microsoft.com/office/drawing/2014/chart" uri="{C3380CC4-5D6E-409C-BE32-E72D297353CC}">
              <c16:uniqueId val="{00000000-32F4-4722-9A5E-5449F18C7800}"/>
            </c:ext>
          </c:extLst>
        </c:ser>
        <c:ser>
          <c:idx val="1"/>
          <c:order val="1"/>
          <c:tx>
            <c:strRef>
              <c:f>Exchange_Wise!$C$2</c:f>
              <c:strCache>
                <c:ptCount val="1"/>
                <c:pt idx="0">
                  <c:v>NCDEX (LHS)</c:v>
                </c:pt>
              </c:strCache>
            </c:strRef>
          </c:tx>
          <c:spPr>
            <a:solidFill>
              <a:srgbClr val="00B050"/>
            </a:solidFill>
            <a:ln>
              <a:solidFill>
                <a:schemeClr val="accent3">
                  <a:lumMod val="75000"/>
                </a:schemeClr>
              </a:solidFill>
            </a:ln>
            <a:effectLst/>
          </c:spPr>
          <c:invertIfNegative val="0"/>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Exchange_Wise!$C$7:$C$18</c:f>
              <c:numCache>
                <c:formatCode>#,##0</c:formatCode>
                <c:ptCount val="12"/>
                <c:pt idx="0">
                  <c:v>23929.732684999995</c:v>
                </c:pt>
                <c:pt idx="1">
                  <c:v>28599.374342499999</c:v>
                </c:pt>
                <c:pt idx="2">
                  <c:v>32560.999704999991</c:v>
                </c:pt>
                <c:pt idx="3">
                  <c:v>31297.897227500001</c:v>
                </c:pt>
                <c:pt idx="4">
                  <c:v>34267.000512499995</c:v>
                </c:pt>
                <c:pt idx="5">
                  <c:v>32707.128794999986</c:v>
                </c:pt>
                <c:pt idx="6">
                  <c:v>30761.034117499996</c:v>
                </c:pt>
                <c:pt idx="7">
                  <c:v>43894.883412500007</c:v>
                </c:pt>
                <c:pt idx="8">
                  <c:v>55219.791669999999</c:v>
                </c:pt>
                <c:pt idx="9">
                  <c:v>42907.123429999992</c:v>
                </c:pt>
                <c:pt idx="10">
                  <c:v>42768.39502000004</c:v>
                </c:pt>
                <c:pt idx="11">
                  <c:v>45161.663549999997</c:v>
                </c:pt>
              </c:numCache>
            </c:numRef>
          </c:val>
          <c:extLst>
            <c:ext xmlns:c16="http://schemas.microsoft.com/office/drawing/2014/chart" uri="{C3380CC4-5D6E-409C-BE32-E72D297353CC}">
              <c16:uniqueId val="{00000001-32F4-4722-9A5E-5449F18C7800}"/>
            </c:ext>
          </c:extLst>
        </c:ser>
        <c:dLbls>
          <c:showLegendKey val="0"/>
          <c:showVal val="0"/>
          <c:showCatName val="0"/>
          <c:showSerName val="0"/>
          <c:showPercent val="0"/>
          <c:showBubbleSize val="0"/>
        </c:dLbls>
        <c:gapWidth val="219"/>
        <c:axId val="524736496"/>
        <c:axId val="524738456"/>
      </c:barChart>
      <c:lineChart>
        <c:grouping val="standard"/>
        <c:varyColors val="0"/>
        <c:ser>
          <c:idx val="2"/>
          <c:order val="2"/>
          <c:tx>
            <c:strRef>
              <c:f>Exchange_Wise!$D$2</c:f>
              <c:strCache>
                <c:ptCount val="1"/>
                <c:pt idx="0">
                  <c:v>ICEX (RHS)</c:v>
                </c:pt>
              </c:strCache>
            </c:strRef>
          </c:tx>
          <c:spPr>
            <a:ln w="28575" cap="rnd">
              <a:solidFill>
                <a:schemeClr val="accent6"/>
              </a:solidFill>
              <a:round/>
            </a:ln>
            <a:effectLst/>
          </c:spPr>
          <c:marker>
            <c:symbol val="x"/>
            <c:size val="10"/>
            <c:spPr>
              <a:noFill/>
              <a:ln w="9525">
                <a:solidFill>
                  <a:srgbClr val="C00000"/>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Exchange_Wise!$D$7:$D$18</c:f>
              <c:numCache>
                <c:formatCode>#,##0</c:formatCode>
                <c:ptCount val="12"/>
                <c:pt idx="0">
                  <c:v>2.2767149999999998</c:v>
                </c:pt>
                <c:pt idx="1">
                  <c:v>4.0599999999999997E-2</c:v>
                </c:pt>
                <c:pt idx="2">
                  <c:v>0</c:v>
                </c:pt>
                <c:pt idx="3">
                  <c:v>0</c:v>
                </c:pt>
                <c:pt idx="4">
                  <c:v>0.89</c:v>
                </c:pt>
                <c:pt idx="5">
                  <c:v>2.819</c:v>
                </c:pt>
                <c:pt idx="6">
                  <c:v>2.5779999999999998</c:v>
                </c:pt>
                <c:pt idx="7">
                  <c:v>3.4738000000000002</c:v>
                </c:pt>
                <c:pt idx="8">
                  <c:v>2.9133100000000001</c:v>
                </c:pt>
                <c:pt idx="9">
                  <c:v>3.66</c:v>
                </c:pt>
                <c:pt idx="10">
                  <c:v>3.86</c:v>
                </c:pt>
                <c:pt idx="11">
                  <c:v>3.5831</c:v>
                </c:pt>
              </c:numCache>
            </c:numRef>
          </c:val>
          <c:smooth val="0"/>
          <c:extLst>
            <c:ext xmlns:c16="http://schemas.microsoft.com/office/drawing/2014/chart" uri="{C3380CC4-5D6E-409C-BE32-E72D297353CC}">
              <c16:uniqueId val="{00000002-32F4-4722-9A5E-5449F18C7800}"/>
            </c:ext>
          </c:extLst>
        </c:ser>
        <c:ser>
          <c:idx val="3"/>
          <c:order val="3"/>
          <c:tx>
            <c:strRef>
              <c:f>Exchange_Wise!$E$2</c:f>
              <c:strCache>
                <c:ptCount val="1"/>
                <c:pt idx="0">
                  <c:v>BSE (RHS)</c:v>
                </c:pt>
              </c:strCache>
            </c:strRef>
          </c:tx>
          <c:spPr>
            <a:ln w="28575" cap="rnd">
              <a:solidFill>
                <a:schemeClr val="tx1"/>
              </a:solidFill>
              <a:round/>
            </a:ln>
            <a:effectLst/>
          </c:spPr>
          <c:marker>
            <c:symbol val="triangle"/>
            <c:size val="9"/>
            <c:spPr>
              <a:solidFill>
                <a:schemeClr val="accent4"/>
              </a:solidFill>
              <a:ln w="9525">
                <a:solidFill>
                  <a:schemeClr val="tx1"/>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Exchange_Wise!$E$7:$E$18</c:f>
              <c:numCache>
                <c:formatCode>#,##0</c:formatCode>
                <c:ptCount val="12"/>
                <c:pt idx="0">
                  <c:v>153.78</c:v>
                </c:pt>
                <c:pt idx="1">
                  <c:v>181.2</c:v>
                </c:pt>
                <c:pt idx="2">
                  <c:v>236.58</c:v>
                </c:pt>
                <c:pt idx="3">
                  <c:v>165.86</c:v>
                </c:pt>
                <c:pt idx="4">
                  <c:v>110.01</c:v>
                </c:pt>
                <c:pt idx="5">
                  <c:v>86.66</c:v>
                </c:pt>
                <c:pt idx="6">
                  <c:v>83.13</c:v>
                </c:pt>
                <c:pt idx="7">
                  <c:v>115.46</c:v>
                </c:pt>
                <c:pt idx="8">
                  <c:v>174.66</c:v>
                </c:pt>
                <c:pt idx="9">
                  <c:v>184.73</c:v>
                </c:pt>
                <c:pt idx="10">
                  <c:v>227.91</c:v>
                </c:pt>
                <c:pt idx="11">
                  <c:v>238.75</c:v>
                </c:pt>
              </c:numCache>
            </c:numRef>
          </c:val>
          <c:smooth val="0"/>
          <c:extLst>
            <c:ext xmlns:c16="http://schemas.microsoft.com/office/drawing/2014/chart" uri="{C3380CC4-5D6E-409C-BE32-E72D297353CC}">
              <c16:uniqueId val="{00000003-32F4-4722-9A5E-5449F18C7800}"/>
            </c:ext>
          </c:extLst>
        </c:ser>
        <c:ser>
          <c:idx val="4"/>
          <c:order val="4"/>
          <c:tx>
            <c:strRef>
              <c:f>Exchange_Wise!$F$2</c:f>
              <c:strCache>
                <c:ptCount val="1"/>
                <c:pt idx="0">
                  <c:v>NSE (RHS)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Exchange_Wise!$F$7:$F$18</c:f>
              <c:numCache>
                <c:formatCode>General</c:formatCode>
                <c:ptCount val="12"/>
                <c:pt idx="4" formatCode="#,##0">
                  <c:v>1433.9238400000006</c:v>
                </c:pt>
                <c:pt idx="5" formatCode="#,##0">
                  <c:v>826.19159999999999</c:v>
                </c:pt>
                <c:pt idx="6" formatCode="#,##0">
                  <c:v>920.27394000000004</c:v>
                </c:pt>
                <c:pt idx="7" formatCode="#,##0">
                  <c:v>1672.8383199999998</c:v>
                </c:pt>
                <c:pt idx="8" formatCode="#,##0">
                  <c:v>592.6947399999998</c:v>
                </c:pt>
                <c:pt idx="9" formatCode="#,##0">
                  <c:v>307.17788999999988</c:v>
                </c:pt>
                <c:pt idx="10" formatCode="#,##0">
                  <c:v>415</c:v>
                </c:pt>
                <c:pt idx="11" formatCode="#,##0">
                  <c:v>671.72671000000003</c:v>
                </c:pt>
              </c:numCache>
            </c:numRef>
          </c:val>
          <c:smooth val="0"/>
          <c:extLst>
            <c:ext xmlns:c16="http://schemas.microsoft.com/office/drawing/2014/chart" uri="{C3380CC4-5D6E-409C-BE32-E72D297353CC}">
              <c16:uniqueId val="{00000004-32F4-4722-9A5E-5449F18C7800}"/>
            </c:ext>
          </c:extLst>
        </c:ser>
        <c:dLbls>
          <c:showLegendKey val="0"/>
          <c:showVal val="0"/>
          <c:showCatName val="0"/>
          <c:showSerName val="0"/>
          <c:showPercent val="0"/>
          <c:showBubbleSize val="0"/>
        </c:dLbls>
        <c:marker val="1"/>
        <c:smooth val="0"/>
        <c:axId val="524738848"/>
        <c:axId val="524736888"/>
      </c:lineChart>
      <c:dateAx>
        <c:axId val="52473649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8456"/>
        <c:crosses val="autoZero"/>
        <c:auto val="1"/>
        <c:lblOffset val="100"/>
        <c:baseTimeUnit val="months"/>
        <c:majorUnit val="1"/>
        <c:majorTimeUnit val="months"/>
      </c:dateAx>
      <c:valAx>
        <c:axId val="524738456"/>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6496"/>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valAx>
        <c:axId val="524736888"/>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0.96063667480161474"/>
              <c:y val="0.33961738433921917"/>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8848"/>
        <c:crosses val="max"/>
        <c:crossBetween val="between"/>
        <c:majorUnit val="500"/>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dateAx>
        <c:axId val="524738848"/>
        <c:scaling>
          <c:orientation val="minMax"/>
        </c:scaling>
        <c:delete val="1"/>
        <c:axPos val="b"/>
        <c:numFmt formatCode="[$-409]mmm\-yy;@" sourceLinked="1"/>
        <c:majorTickMark val="out"/>
        <c:minorTickMark val="none"/>
        <c:tickLblPos val="nextTo"/>
        <c:crossAx val="524736888"/>
        <c:crosses val="autoZero"/>
        <c:auto val="0"/>
        <c:lblOffset val="100"/>
        <c:baseTimeUnit val="months"/>
      </c:dateAx>
      <c:spPr>
        <a:noFill/>
        <a:ln>
          <a:noFill/>
        </a:ln>
        <a:effectLst/>
      </c:spPr>
    </c:plotArea>
    <c:legend>
      <c:legendPos val="b"/>
      <c:layout>
        <c:manualLayout>
          <c:xMode val="edge"/>
          <c:yMode val="edge"/>
          <c:x val="0.10164675814571447"/>
          <c:y val="0.87648641104576042"/>
          <c:w val="0.82665128174197633"/>
          <c:h val="0.123513588954239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5631089595"/>
          <c:y val="2.8574616789475059E-2"/>
          <c:w val="0.78292437628529898"/>
          <c:h val="0.72457814568050793"/>
        </c:manualLayout>
      </c:layout>
      <c:barChart>
        <c:barDir val="col"/>
        <c:grouping val="stacked"/>
        <c:varyColors val="0"/>
        <c:ser>
          <c:idx val="0"/>
          <c:order val="0"/>
          <c:tx>
            <c:strRef>
              <c:f>Exchange_Wise!$G$2</c:f>
              <c:strCache>
                <c:ptCount val="1"/>
                <c:pt idx="0">
                  <c:v>MCX (LHS)</c:v>
                </c:pt>
              </c:strCache>
            </c:strRef>
          </c:tx>
          <c:spPr>
            <a:solidFill>
              <a:srgbClr val="92D050"/>
            </a:solidFill>
            <a:ln>
              <a:solidFill>
                <a:sysClr val="windowText" lastClr="000000"/>
              </a:solidFill>
            </a:ln>
            <a:effectLst/>
          </c:spPr>
          <c:invertIfNegative val="0"/>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Exchange_Wise!$G$7:$G$18</c:f>
              <c:numCache>
                <c:formatCode>#,##0</c:formatCode>
                <c:ptCount val="12"/>
                <c:pt idx="0">
                  <c:v>904796.19616849977</c:v>
                </c:pt>
                <c:pt idx="1">
                  <c:v>745965.04735440004</c:v>
                </c:pt>
                <c:pt idx="2">
                  <c:v>691669.15749930032</c:v>
                </c:pt>
                <c:pt idx="3">
                  <c:v>722827.83065649995</c:v>
                </c:pt>
                <c:pt idx="4">
                  <c:v>649285.71545269992</c:v>
                </c:pt>
                <c:pt idx="5">
                  <c:v>631081.49217339978</c:v>
                </c:pt>
                <c:pt idx="6">
                  <c:v>732338.52416479995</c:v>
                </c:pt>
                <c:pt idx="7">
                  <c:v>602584.41504829982</c:v>
                </c:pt>
                <c:pt idx="8">
                  <c:v>525273.25289939984</c:v>
                </c:pt>
                <c:pt idx="9">
                  <c:v>657112.9212915001</c:v>
                </c:pt>
                <c:pt idx="10">
                  <c:v>573244.30666690005</c:v>
                </c:pt>
                <c:pt idx="11">
                  <c:v>578366.63177189988</c:v>
                </c:pt>
              </c:numCache>
            </c:numRef>
          </c:val>
          <c:extLst xmlns:c15="http://schemas.microsoft.com/office/drawing/2012/chart">
            <c:ext xmlns:c16="http://schemas.microsoft.com/office/drawing/2014/chart" uri="{C3380CC4-5D6E-409C-BE32-E72D297353CC}">
              <c16:uniqueId val="{00000000-A25B-4A39-AB92-F4A001414633}"/>
            </c:ext>
          </c:extLst>
        </c:ser>
        <c:dLbls>
          <c:showLegendKey val="0"/>
          <c:showVal val="0"/>
          <c:showCatName val="0"/>
          <c:showSerName val="0"/>
          <c:showPercent val="0"/>
          <c:showBubbleSize val="0"/>
        </c:dLbls>
        <c:gapWidth val="219"/>
        <c:overlap val="100"/>
        <c:axId val="524739632"/>
        <c:axId val="524736104"/>
        <c:extLst/>
      </c:barChart>
      <c:lineChart>
        <c:grouping val="stacked"/>
        <c:varyColors val="0"/>
        <c:ser>
          <c:idx val="1"/>
          <c:order val="1"/>
          <c:tx>
            <c:strRef>
              <c:f>Exchange_Wise!$H$2</c:f>
              <c:strCache>
                <c:ptCount val="1"/>
                <c:pt idx="0">
                  <c:v>NCDEX (RHS)</c:v>
                </c:pt>
              </c:strCache>
            </c:strRef>
          </c:tx>
          <c:spPr>
            <a:ln w="19050" cap="rnd">
              <a:solidFill>
                <a:sysClr val="windowText" lastClr="000000">
                  <a:lumMod val="75000"/>
                  <a:lumOff val="25000"/>
                </a:sysClr>
              </a:solidFill>
              <a:round/>
            </a:ln>
            <a:effectLst/>
          </c:spPr>
          <c:marker>
            <c:symbol val="circle"/>
            <c:size val="5"/>
            <c:spPr>
              <a:solidFill>
                <a:sysClr val="windowText" lastClr="000000"/>
              </a:solidFill>
              <a:ln w="9525">
                <a:solidFill>
                  <a:schemeClr val="accent2"/>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Exchange_Wise!$H$7:$H$18</c:f>
              <c:numCache>
                <c:formatCode>General</c:formatCode>
                <c:ptCount val="12"/>
                <c:pt idx="5" formatCode="#,##0">
                  <c:v>24.235309999999998</c:v>
                </c:pt>
                <c:pt idx="6" formatCode="#,##0">
                  <c:v>38.773069999999997</c:v>
                </c:pt>
                <c:pt idx="7" formatCode="#,##0">
                  <c:v>25.14254</c:v>
                </c:pt>
                <c:pt idx="8" formatCode="#,##0">
                  <c:v>11.57</c:v>
                </c:pt>
                <c:pt idx="9" formatCode="#,##0">
                  <c:v>15.86</c:v>
                </c:pt>
                <c:pt idx="10" formatCode="#,##0">
                  <c:v>17.549300000000002</c:v>
                </c:pt>
                <c:pt idx="11" formatCode="#,##0">
                  <c:v>17.309999999999999</c:v>
                </c:pt>
              </c:numCache>
            </c:numRef>
          </c:val>
          <c:smooth val="0"/>
          <c:extLst xmlns:c15="http://schemas.microsoft.com/office/drawing/2012/chart">
            <c:ext xmlns:c16="http://schemas.microsoft.com/office/drawing/2014/chart" uri="{C3380CC4-5D6E-409C-BE32-E72D297353CC}">
              <c16:uniqueId val="{00000001-A25B-4A39-AB92-F4A001414633}"/>
            </c:ext>
          </c:extLst>
        </c:ser>
        <c:ser>
          <c:idx val="2"/>
          <c:order val="2"/>
          <c:tx>
            <c:strRef>
              <c:f>Exchange_Wise!$I$2</c:f>
              <c:strCache>
                <c:ptCount val="1"/>
                <c:pt idx="0">
                  <c:v>ICEX (RHS)</c:v>
                </c:pt>
              </c:strCache>
            </c:strRef>
          </c:tx>
          <c:spPr>
            <a:ln w="19050" cap="rnd">
              <a:solidFill>
                <a:srgbClr val="FF0000"/>
              </a:solidFill>
              <a:prstDash val="dash"/>
              <a:round/>
            </a:ln>
            <a:effectLst/>
          </c:spPr>
          <c:marker>
            <c:symbol val="circle"/>
            <c:size val="4"/>
            <c:spPr>
              <a:solidFill>
                <a:srgbClr val="C00000"/>
              </a:solidFill>
              <a:ln w="19050">
                <a:solidFill>
                  <a:srgbClr val="FF0000"/>
                </a:solidFill>
                <a:prstDash val="dash"/>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Exchange_Wise!$I$7:$I$18</c:f>
              <c:numCache>
                <c:formatCode>#,##0</c:formatCode>
                <c:ptCount val="12"/>
                <c:pt idx="0">
                  <c:v>1.6379999999999999E-3</c:v>
                </c:pt>
                <c:pt idx="1">
                  <c:v>0.1153</c:v>
                </c:pt>
                <c:pt idx="2">
                  <c:v>0.1066</c:v>
                </c:pt>
                <c:pt idx="3">
                  <c:v>2.7824999999999999E-2</c:v>
                </c:pt>
                <c:pt idx="4">
                  <c:v>1.8845000000000001</c:v>
                </c:pt>
                <c:pt idx="5">
                  <c:v>10.392370000000001</c:v>
                </c:pt>
                <c:pt idx="6">
                  <c:v>16.025917</c:v>
                </c:pt>
                <c:pt idx="7">
                  <c:v>19.011840000000003</c:v>
                </c:pt>
                <c:pt idx="8">
                  <c:v>16.042120000000001</c:v>
                </c:pt>
                <c:pt idx="9">
                  <c:v>18.87</c:v>
                </c:pt>
                <c:pt idx="10">
                  <c:v>22.58</c:v>
                </c:pt>
                <c:pt idx="11">
                  <c:v>18.5442</c:v>
                </c:pt>
              </c:numCache>
            </c:numRef>
          </c:val>
          <c:smooth val="0"/>
          <c:extLst>
            <c:ext xmlns:c16="http://schemas.microsoft.com/office/drawing/2014/chart" uri="{C3380CC4-5D6E-409C-BE32-E72D297353CC}">
              <c16:uniqueId val="{00000002-A25B-4A39-AB92-F4A001414633}"/>
            </c:ext>
          </c:extLst>
        </c:ser>
        <c:ser>
          <c:idx val="3"/>
          <c:order val="3"/>
          <c:tx>
            <c:strRef>
              <c:f>Exchange_Wise!$J$2</c:f>
              <c:strCache>
                <c:ptCount val="1"/>
                <c:pt idx="0">
                  <c:v>BSE (RHS)</c:v>
                </c:pt>
              </c:strCache>
            </c:strRef>
          </c:tx>
          <c:spPr>
            <a:ln w="19050" cap="rnd">
              <a:solidFill>
                <a:srgbClr val="0070C0"/>
              </a:solidFill>
              <a:round/>
            </a:ln>
            <a:effectLst/>
          </c:spPr>
          <c:marker>
            <c:symbol val="none"/>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Exchange_Wise!$J$7:$J$18</c:f>
              <c:numCache>
                <c:formatCode>#,##0</c:formatCode>
                <c:ptCount val="12"/>
                <c:pt idx="0">
                  <c:v>0</c:v>
                </c:pt>
                <c:pt idx="1">
                  <c:v>4.01</c:v>
                </c:pt>
                <c:pt idx="2">
                  <c:v>11.15</c:v>
                </c:pt>
                <c:pt idx="3">
                  <c:v>10.53</c:v>
                </c:pt>
                <c:pt idx="4">
                  <c:v>11.42</c:v>
                </c:pt>
                <c:pt idx="5">
                  <c:v>10.02</c:v>
                </c:pt>
                <c:pt idx="6">
                  <c:v>9.8699999999999992</c:v>
                </c:pt>
                <c:pt idx="7">
                  <c:v>11.647484</c:v>
                </c:pt>
                <c:pt idx="8">
                  <c:v>10.74</c:v>
                </c:pt>
                <c:pt idx="9">
                  <c:v>10.59</c:v>
                </c:pt>
                <c:pt idx="10">
                  <c:v>11</c:v>
                </c:pt>
                <c:pt idx="11">
                  <c:v>27.182001</c:v>
                </c:pt>
              </c:numCache>
            </c:numRef>
          </c:val>
          <c:smooth val="0"/>
          <c:extLst xmlns:c15="http://schemas.microsoft.com/office/drawing/2012/chart">
            <c:ext xmlns:c16="http://schemas.microsoft.com/office/drawing/2014/chart" uri="{C3380CC4-5D6E-409C-BE32-E72D297353CC}">
              <c16:uniqueId val="{00000003-A25B-4A39-AB92-F4A001414633}"/>
            </c:ext>
          </c:extLst>
        </c:ser>
        <c:ser>
          <c:idx val="4"/>
          <c:order val="4"/>
          <c:tx>
            <c:strRef>
              <c:f>Exchange_Wise!$K$2</c:f>
              <c:strCache>
                <c:ptCount val="1"/>
                <c:pt idx="0">
                  <c:v>NSE (RHS)</c:v>
                </c:pt>
              </c:strCache>
            </c:strRef>
          </c:tx>
          <c:spPr>
            <a:ln w="25400" cap="rnd">
              <a:solidFill>
                <a:srgbClr val="00B0F0"/>
              </a:solidFill>
              <a:prstDash val="sysDash"/>
              <a:round/>
            </a:ln>
            <a:effectLst/>
          </c:spPr>
          <c:marker>
            <c:symbol val="square"/>
            <c:size val="6"/>
            <c:spPr>
              <a:solidFill>
                <a:sysClr val="windowText" lastClr="000000"/>
              </a:solidFill>
              <a:ln w="9525">
                <a:solidFill>
                  <a:schemeClr val="accent5"/>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Exchange_Wise!$K$7:$K$18</c:f>
              <c:numCache>
                <c:formatCode>#,##0</c:formatCode>
                <c:ptCount val="12"/>
                <c:pt idx="0">
                  <c:v>92.012484999999998</c:v>
                </c:pt>
                <c:pt idx="1">
                  <c:v>65.526607000000013</c:v>
                </c:pt>
                <c:pt idx="2">
                  <c:v>14.122890999999999</c:v>
                </c:pt>
                <c:pt idx="3">
                  <c:v>18.669679000000002</c:v>
                </c:pt>
                <c:pt idx="4">
                  <c:v>15.143264000000002</c:v>
                </c:pt>
                <c:pt idx="5">
                  <c:v>11.035423000000002</c:v>
                </c:pt>
                <c:pt idx="6">
                  <c:v>14.295155499999996</c:v>
                </c:pt>
                <c:pt idx="7">
                  <c:v>11.136143500000001</c:v>
                </c:pt>
                <c:pt idx="8">
                  <c:v>6.284978999999999</c:v>
                </c:pt>
                <c:pt idx="9">
                  <c:v>6.4907739999999965</c:v>
                </c:pt>
                <c:pt idx="10">
                  <c:v>7.7</c:v>
                </c:pt>
                <c:pt idx="11">
                  <c:v>4.1648215999999998</c:v>
                </c:pt>
              </c:numCache>
            </c:numRef>
          </c:val>
          <c:smooth val="0"/>
          <c:extLst>
            <c:ext xmlns:c16="http://schemas.microsoft.com/office/drawing/2014/chart" uri="{C3380CC4-5D6E-409C-BE32-E72D297353CC}">
              <c16:uniqueId val="{00000004-A25B-4A39-AB92-F4A001414633}"/>
            </c:ext>
          </c:extLst>
        </c:ser>
        <c:dLbls>
          <c:showLegendKey val="0"/>
          <c:showVal val="0"/>
          <c:showCatName val="0"/>
          <c:showSerName val="0"/>
          <c:showPercent val="0"/>
          <c:showBubbleSize val="0"/>
        </c:dLbls>
        <c:marker val="1"/>
        <c:smooth val="0"/>
        <c:axId val="524740024"/>
        <c:axId val="524734928"/>
      </c:lineChart>
      <c:dateAx>
        <c:axId val="524739632"/>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6104"/>
        <c:crosses val="autoZero"/>
        <c:auto val="0"/>
        <c:lblOffset val="100"/>
        <c:baseTimeUnit val="months"/>
      </c:dateAx>
      <c:valAx>
        <c:axId val="524736104"/>
        <c:scaling>
          <c:orientation val="minMax"/>
          <c:max val="1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9632"/>
        <c:crosses val="autoZero"/>
        <c:crossBetween val="between"/>
        <c:majorUnit val="100000"/>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valAx>
        <c:axId val="524734928"/>
        <c:scaling>
          <c:orientation val="minMax"/>
          <c:max val="2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40024"/>
        <c:crosses val="max"/>
        <c:crossBetween val="between"/>
      </c:valAx>
      <c:dateAx>
        <c:axId val="524740024"/>
        <c:scaling>
          <c:orientation val="minMax"/>
        </c:scaling>
        <c:delete val="1"/>
        <c:axPos val="b"/>
        <c:numFmt formatCode="[$-409]mmm\-yy;@" sourceLinked="1"/>
        <c:majorTickMark val="out"/>
        <c:minorTickMark val="none"/>
        <c:tickLblPos val="nextTo"/>
        <c:crossAx val="524734928"/>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3353162042514284"/>
          <c:h val="0.117019285632774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28739068102601E-2"/>
          <c:y val="2.5425336553711E-2"/>
          <c:w val="0.84300839635211866"/>
          <c:h val="0.74402255555637775"/>
        </c:manualLayout>
      </c:layout>
      <c:lineChart>
        <c:grouping val="standard"/>
        <c:varyColors val="0"/>
        <c:ser>
          <c:idx val="3"/>
          <c:order val="0"/>
          <c:tx>
            <c:strRef>
              <c:f>Exchange_Wise!$L$2</c:f>
              <c:strCache>
                <c:ptCount val="1"/>
                <c:pt idx="0">
                  <c:v>MCX</c:v>
                </c:pt>
              </c:strCache>
            </c:strRef>
          </c:tx>
          <c:spPr>
            <a:ln w="22225" cap="rnd">
              <a:solidFill>
                <a:srgbClr val="0070C0"/>
              </a:solidFill>
              <a:round/>
            </a:ln>
            <a:effectLst/>
          </c:spPr>
          <c:marker>
            <c:symbol val="circle"/>
            <c:size val="5"/>
            <c:spPr>
              <a:solidFill>
                <a:srgbClr val="0070C0"/>
              </a:solidFill>
              <a:ln w="9525">
                <a:solidFill>
                  <a:srgbClr val="0070C0"/>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Exchange_Wise!$L$7:$L$18</c:f>
              <c:numCache>
                <c:formatCode>#,##0</c:formatCode>
                <c:ptCount val="12"/>
                <c:pt idx="0">
                  <c:v>28998.239947999999</c:v>
                </c:pt>
                <c:pt idx="1">
                  <c:v>26027.212639000005</c:v>
                </c:pt>
                <c:pt idx="2">
                  <c:v>9915.5255409999991</c:v>
                </c:pt>
                <c:pt idx="3">
                  <c:v>26564.103460999999</c:v>
                </c:pt>
                <c:pt idx="4">
                  <c:v>15258.518517999999</c:v>
                </c:pt>
                <c:pt idx="5">
                  <c:v>25959.086283000004</c:v>
                </c:pt>
                <c:pt idx="6">
                  <c:v>17156.310860000001</c:v>
                </c:pt>
                <c:pt idx="7">
                  <c:v>28949.873640999998</c:v>
                </c:pt>
                <c:pt idx="8">
                  <c:v>29746.30315299999</c:v>
                </c:pt>
                <c:pt idx="9">
                  <c:v>41737.770531000002</c:v>
                </c:pt>
                <c:pt idx="10">
                  <c:v>50098.683639000003</c:v>
                </c:pt>
                <c:pt idx="11">
                  <c:v>99269.799360999983</c:v>
                </c:pt>
              </c:numCache>
            </c:numRef>
          </c:val>
          <c:smooth val="0"/>
          <c:extLst>
            <c:ext xmlns:c16="http://schemas.microsoft.com/office/drawing/2014/chart" uri="{C3380CC4-5D6E-409C-BE32-E72D297353CC}">
              <c16:uniqueId val="{00000000-FB6B-4BDF-9E97-596E067FFB7C}"/>
            </c:ext>
          </c:extLst>
        </c:ser>
        <c:ser>
          <c:idx val="1"/>
          <c:order val="1"/>
          <c:tx>
            <c:strRef>
              <c:f>Exchange_Wise!$M$2</c:f>
              <c:strCache>
                <c:ptCount val="1"/>
                <c:pt idx="0">
                  <c:v>BSE</c:v>
                </c:pt>
              </c:strCache>
            </c:strRef>
          </c:tx>
          <c:spPr>
            <a:ln w="22225" cap="rnd">
              <a:solidFill>
                <a:sysClr val="windowText" lastClr="000000">
                  <a:lumMod val="75000"/>
                  <a:lumOff val="25000"/>
                </a:sysClr>
              </a:solidFill>
              <a:round/>
            </a:ln>
            <a:effectLst/>
          </c:spPr>
          <c:marker>
            <c:symbol val="circle"/>
            <c:size val="5"/>
            <c:spPr>
              <a:solidFill>
                <a:schemeClr val="accent2"/>
              </a:solidFill>
              <a:ln w="9525">
                <a:solidFill>
                  <a:schemeClr val="accent2"/>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Exchange_Wise!$M$7:$M$18</c:f>
              <c:numCache>
                <c:formatCode>#,##0</c:formatCode>
                <c:ptCount val="12"/>
                <c:pt idx="0">
                  <c:v>71670.850000000006</c:v>
                </c:pt>
                <c:pt idx="1">
                  <c:v>58331.41</c:v>
                </c:pt>
                <c:pt idx="2">
                  <c:v>56137.399999999994</c:v>
                </c:pt>
                <c:pt idx="3">
                  <c:v>53954.21</c:v>
                </c:pt>
                <c:pt idx="4">
                  <c:v>66801.039999999994</c:v>
                </c:pt>
                <c:pt idx="5">
                  <c:v>62440.93</c:v>
                </c:pt>
                <c:pt idx="6">
                  <c:v>65087.26</c:v>
                </c:pt>
                <c:pt idx="7">
                  <c:v>71581.36</c:v>
                </c:pt>
                <c:pt idx="8">
                  <c:v>66089.42</c:v>
                </c:pt>
                <c:pt idx="9">
                  <c:v>67971.709999999992</c:v>
                </c:pt>
                <c:pt idx="10">
                  <c:v>71633.320000000007</c:v>
                </c:pt>
                <c:pt idx="11">
                  <c:v>69040.27</c:v>
                </c:pt>
              </c:numCache>
            </c:numRef>
          </c:val>
          <c:smooth val="0"/>
          <c:extLst>
            <c:ext xmlns:c16="http://schemas.microsoft.com/office/drawing/2014/chart" uri="{C3380CC4-5D6E-409C-BE32-E72D297353CC}">
              <c16:uniqueId val="{00000001-FB6B-4BDF-9E97-596E067FFB7C}"/>
            </c:ext>
          </c:extLst>
        </c:ser>
        <c:dLbls>
          <c:showLegendKey val="0"/>
          <c:showVal val="0"/>
          <c:showCatName val="0"/>
          <c:showSerName val="0"/>
          <c:showPercent val="0"/>
          <c:showBubbleSize val="0"/>
        </c:dLbls>
        <c:marker val="1"/>
        <c:smooth val="0"/>
        <c:axId val="524740416"/>
        <c:axId val="524734144"/>
      </c:lineChart>
      <c:lineChart>
        <c:grouping val="standard"/>
        <c:varyColors val="0"/>
        <c:ser>
          <c:idx val="5"/>
          <c:order val="2"/>
          <c:tx>
            <c:strRef>
              <c:f>Exchange_Wise!$N$2</c:f>
              <c:strCache>
                <c:ptCount val="1"/>
                <c:pt idx="0">
                  <c:v>NSE (RHS)</c:v>
                </c:pt>
              </c:strCache>
            </c:strRef>
          </c:tx>
          <c:spPr>
            <a:ln w="28575" cap="rnd">
              <a:solidFill>
                <a:schemeClr val="accent6"/>
              </a:solidFill>
              <a:round/>
            </a:ln>
            <a:effectLst/>
          </c:spPr>
          <c:marker>
            <c:symbol val="circle"/>
            <c:size val="5"/>
            <c:spPr>
              <a:solidFill>
                <a:srgbClr val="C00000"/>
              </a:solidFill>
              <a:ln w="9525">
                <a:solidFill>
                  <a:schemeClr val="accent6"/>
                </a:solidFill>
              </a:ln>
              <a:effectLst/>
            </c:spPr>
          </c:marker>
          <c:cat>
            <c:numRef>
              <c:f>Exchange_Wise!$A$7:$A$18</c:f>
              <c:numCache>
                <c:formatCode>[$-409]mmm\-yy;@</c:formatCode>
                <c:ptCount val="12"/>
                <c:pt idx="0">
                  <c:v>44044</c:v>
                </c:pt>
                <c:pt idx="1">
                  <c:v>44075</c:v>
                </c:pt>
                <c:pt idx="2">
                  <c:v>44105</c:v>
                </c:pt>
                <c:pt idx="3">
                  <c:v>44136</c:v>
                </c:pt>
                <c:pt idx="4">
                  <c:v>44166</c:v>
                </c:pt>
                <c:pt idx="5">
                  <c:v>44197</c:v>
                </c:pt>
                <c:pt idx="6">
                  <c:v>44228</c:v>
                </c:pt>
                <c:pt idx="7">
                  <c:v>44257</c:v>
                </c:pt>
                <c:pt idx="8">
                  <c:v>44287</c:v>
                </c:pt>
                <c:pt idx="9">
                  <c:v>44317</c:v>
                </c:pt>
                <c:pt idx="10">
                  <c:v>44349</c:v>
                </c:pt>
                <c:pt idx="11">
                  <c:v>44408</c:v>
                </c:pt>
              </c:numCache>
            </c:numRef>
          </c:cat>
          <c:val>
            <c:numRef>
              <c:f>Exchange_Wise!$N$7:$N$18</c:f>
              <c:numCache>
                <c:formatCode>#,##0</c:formatCode>
                <c:ptCount val="12"/>
                <c:pt idx="0">
                  <c:v>2381.9200970000002</c:v>
                </c:pt>
                <c:pt idx="1">
                  <c:v>1734.4075534999997</c:v>
                </c:pt>
                <c:pt idx="2">
                  <c:v>1856.5995699999994</c:v>
                </c:pt>
                <c:pt idx="3">
                  <c:v>2633.3125410000002</c:v>
                </c:pt>
                <c:pt idx="4">
                  <c:v>1537.8181204999996</c:v>
                </c:pt>
                <c:pt idx="5">
                  <c:v>1913.7781235000002</c:v>
                </c:pt>
                <c:pt idx="6">
                  <c:v>1103.8054694999996</c:v>
                </c:pt>
                <c:pt idx="7">
                  <c:v>1206.0163299999995</c:v>
                </c:pt>
                <c:pt idx="8">
                  <c:v>950.66633899999977</c:v>
                </c:pt>
                <c:pt idx="9">
                  <c:v>846.21426750000001</c:v>
                </c:pt>
                <c:pt idx="10">
                  <c:v>699.27089999999998</c:v>
                </c:pt>
                <c:pt idx="11">
                  <c:v>894.56880599999931</c:v>
                </c:pt>
              </c:numCache>
            </c:numRef>
          </c:val>
          <c:smooth val="0"/>
          <c:extLst>
            <c:ext xmlns:c16="http://schemas.microsoft.com/office/drawing/2014/chart" uri="{C3380CC4-5D6E-409C-BE32-E72D297353CC}">
              <c16:uniqueId val="{00000002-FB6B-4BDF-9E97-596E067FFB7C}"/>
            </c:ext>
          </c:extLst>
        </c:ser>
        <c:dLbls>
          <c:showLegendKey val="0"/>
          <c:showVal val="0"/>
          <c:showCatName val="0"/>
          <c:showSerName val="0"/>
          <c:showPercent val="0"/>
          <c:showBubbleSize val="0"/>
        </c:dLbls>
        <c:marker val="1"/>
        <c:smooth val="0"/>
        <c:axId val="524735320"/>
        <c:axId val="524740808"/>
      </c:lineChart>
      <c:dateAx>
        <c:axId val="524740416"/>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4144"/>
        <c:crosses val="autoZero"/>
        <c:auto val="1"/>
        <c:lblOffset val="100"/>
        <c:baseTimeUnit val="months"/>
      </c:dateAx>
      <c:valAx>
        <c:axId val="524734144"/>
        <c:scaling>
          <c:orientation val="minMax"/>
          <c:max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40416"/>
        <c:crosses val="autoZero"/>
        <c:crossBetween val="between"/>
        <c:majorUnit val="10000"/>
        <c:minorUnit val="5000"/>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valAx>
        <c:axId val="524740808"/>
        <c:scaling>
          <c:orientation val="minMax"/>
          <c:max val="5000"/>
        </c:scaling>
        <c:delete val="0"/>
        <c:axPos val="r"/>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Palatino Linotype" panose="02040502050505030304" pitchFamily="18" charset="0"/>
                    <a:ea typeface="+mn-ea"/>
                    <a:cs typeface="+mn-cs"/>
                  </a:defRPr>
                </a:pPr>
                <a:r>
                  <a:rPr lang="en-US" sz="1050" b="0" i="0" baseline="0">
                    <a:effectLst/>
                  </a:rPr>
                  <a:t>₹</a:t>
                </a:r>
                <a:r>
                  <a:rPr lang="en-IN" sz="1050" b="0" i="0" baseline="0">
                    <a:effectLst/>
                  </a:rPr>
                  <a:t>  crore</a:t>
                </a:r>
                <a:endParaRPr lang="en-IN" sz="1050">
                  <a:effectLst/>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5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524735320"/>
        <c:crosses val="max"/>
        <c:crossBetween val="between"/>
        <c:majorUnit val="1000"/>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dispUnitsLbl>
        </c:dispUnits>
      </c:valAx>
      <c:dateAx>
        <c:axId val="524735320"/>
        <c:scaling>
          <c:orientation val="minMax"/>
        </c:scaling>
        <c:delete val="1"/>
        <c:axPos val="b"/>
        <c:numFmt formatCode="[$-409]mmm\-yy;@" sourceLinked="1"/>
        <c:majorTickMark val="out"/>
        <c:minorTickMark val="none"/>
        <c:tickLblPos val="nextTo"/>
        <c:crossAx val="524740808"/>
        <c:crosses val="autoZero"/>
        <c:auto val="1"/>
        <c:lblOffset val="100"/>
        <c:baseTimeUnit val="months"/>
      </c:dateAx>
      <c:spPr>
        <a:noFill/>
        <a:ln>
          <a:noFill/>
        </a:ln>
        <a:effectLst/>
      </c:spPr>
    </c:plotArea>
    <c:legend>
      <c:legendPos val="b"/>
      <c:layout>
        <c:manualLayout>
          <c:xMode val="edge"/>
          <c:yMode val="edge"/>
          <c:x val="0.20116063823162392"/>
          <c:y val="0.92796071281948211"/>
          <c:w val="0.46636854994067484"/>
          <c:h val="6.75578238339827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'F2&amp;F3'!$D$4</c:f>
              <c:strCache>
                <c:ptCount val="1"/>
                <c:pt idx="0">
                  <c:v>ADT at NSE (LHS)</c:v>
                </c:pt>
              </c:strCache>
            </c:strRef>
          </c:tx>
          <c:spPr>
            <a:solidFill>
              <a:srgbClr val="00B050"/>
            </a:solidFill>
            <a:ln>
              <a:noFill/>
            </a:ln>
            <a:effectLst/>
          </c:spPr>
          <c:invertIfNegative val="0"/>
          <c:cat>
            <c:numRef>
              <c:f>'F2&amp;F3'!$A$5:$A$16</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'F2&amp;F3'!$D$5:$D$16</c:f>
              <c:numCache>
                <c:formatCode>[&gt;=10000000]#\,##\,##\,##0;[&gt;=100000]#\,##\,##0;##,##0</c:formatCode>
                <c:ptCount val="12"/>
                <c:pt idx="0">
                  <c:v>61074.12</c:v>
                </c:pt>
                <c:pt idx="1">
                  <c:v>55605.851524328958</c:v>
                </c:pt>
                <c:pt idx="2">
                  <c:v>52327.798311617102</c:v>
                </c:pt>
                <c:pt idx="3">
                  <c:v>66863.595756470837</c:v>
                </c:pt>
                <c:pt idx="4">
                  <c:v>62479.615040464567</c:v>
                </c:pt>
                <c:pt idx="5">
                  <c:v>72472.244728850172</c:v>
                </c:pt>
                <c:pt idx="6" formatCode="#,##0;\-#,##0;0">
                  <c:v>81373.180989999993</c:v>
                </c:pt>
                <c:pt idx="7" formatCode="#,##0;\-#,##0;0">
                  <c:v>66616.515109999993</c:v>
                </c:pt>
                <c:pt idx="8" formatCode="#,##0;\-#,##0;0">
                  <c:v>70036.149999999994</c:v>
                </c:pt>
                <c:pt idx="9" formatCode="#,##0;\-#,##0;0">
                  <c:v>78395.767018697938</c:v>
                </c:pt>
                <c:pt idx="10" formatCode="#,##0;\-#,##0;0">
                  <c:v>70667.895154310216</c:v>
                </c:pt>
                <c:pt idx="11" formatCode="#,##0;\-#,##0;0">
                  <c:v>62653.139047681041</c:v>
                </c:pt>
              </c:numCache>
            </c:numRef>
          </c:val>
          <c:extLst>
            <c:ext xmlns:c16="http://schemas.microsoft.com/office/drawing/2014/chart" uri="{C3380CC4-5D6E-409C-BE32-E72D297353CC}">
              <c16:uniqueId val="{00000000-5FA7-4A32-B74D-07E7AC5E33D6}"/>
            </c:ext>
          </c:extLst>
        </c:ser>
        <c:dLbls>
          <c:showLegendKey val="0"/>
          <c:showVal val="0"/>
          <c:showCatName val="0"/>
          <c:showSerName val="0"/>
          <c:showPercent val="0"/>
          <c:showBubbleSize val="0"/>
        </c:dLbls>
        <c:gapWidth val="219"/>
        <c:overlap val="-27"/>
        <c:axId val="538303968"/>
        <c:axId val="538302792"/>
      </c:barChart>
      <c:lineChart>
        <c:grouping val="standard"/>
        <c:varyColors val="0"/>
        <c:ser>
          <c:idx val="3"/>
          <c:order val="1"/>
          <c:tx>
            <c:strRef>
              <c:f>'F2&amp;F3'!$E$4</c:f>
              <c:strCache>
                <c:ptCount val="1"/>
                <c:pt idx="0">
                  <c:v>ADV of Nifty 50 (RHS)</c:v>
                </c:pt>
              </c:strCache>
            </c:strRef>
          </c:tx>
          <c:spPr>
            <a:ln w="28575" cap="rnd">
              <a:solidFill>
                <a:srgbClr val="FF0000"/>
              </a:solidFill>
              <a:round/>
            </a:ln>
            <a:effectLst/>
          </c:spPr>
          <c:marker>
            <c:symbol val="none"/>
          </c:marker>
          <c:cat>
            <c:numRef>
              <c:f>'F2&amp;F3'!$A$5:$A$16</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'F2&amp;F3'!$E$5:$E$16</c:f>
              <c:numCache>
                <c:formatCode>[&gt;=10000000]#\,##\,##\,##0;[&gt;=100000]#\,##\,##0;##,##0</c:formatCode>
                <c:ptCount val="12"/>
                <c:pt idx="0">
                  <c:v>11318.57</c:v>
                </c:pt>
                <c:pt idx="1">
                  <c:v>11336.702272727271</c:v>
                </c:pt>
                <c:pt idx="2">
                  <c:v>11789.709523809524</c:v>
                </c:pt>
                <c:pt idx="3">
                  <c:v>12602.3225</c:v>
                </c:pt>
                <c:pt idx="4">
                  <c:v>13550.44090909091</c:v>
                </c:pt>
                <c:pt idx="5">
                  <c:v>14284.602499999999</c:v>
                </c:pt>
                <c:pt idx="6">
                  <c:v>14956.842499999999</c:v>
                </c:pt>
                <c:pt idx="7">
                  <c:v>14835.099999999999</c:v>
                </c:pt>
                <c:pt idx="8">
                  <c:v>14613.852631578948</c:v>
                </c:pt>
                <c:pt idx="9">
                  <c:v>15121.611538461539</c:v>
                </c:pt>
                <c:pt idx="10">
                  <c:v>15733.677272727275</c:v>
                </c:pt>
                <c:pt idx="11">
                  <c:v>15783.097619047621</c:v>
                </c:pt>
              </c:numCache>
            </c:numRef>
          </c:val>
          <c:smooth val="0"/>
          <c:extLst>
            <c:ext xmlns:c16="http://schemas.microsoft.com/office/drawing/2014/chart" uri="{C3380CC4-5D6E-409C-BE32-E72D297353CC}">
              <c16:uniqueId val="{00000001-5FA7-4A32-B74D-07E7AC5E33D6}"/>
            </c:ext>
          </c:extLst>
        </c:ser>
        <c:dLbls>
          <c:showLegendKey val="0"/>
          <c:showVal val="0"/>
          <c:showCatName val="0"/>
          <c:showSerName val="0"/>
          <c:showPercent val="0"/>
          <c:showBubbleSize val="0"/>
        </c:dLbls>
        <c:marker val="1"/>
        <c:smooth val="0"/>
        <c:axId val="508872800"/>
        <c:axId val="538301224"/>
      </c:lineChart>
      <c:dateAx>
        <c:axId val="53830396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8302792"/>
        <c:crosses val="autoZero"/>
        <c:auto val="1"/>
        <c:lblOffset val="100"/>
        <c:baseTimeUnit val="months"/>
      </c:dateAx>
      <c:valAx>
        <c:axId val="538302792"/>
        <c:scaling>
          <c:orientation val="minMax"/>
          <c:min val="35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8303968"/>
        <c:crosses val="autoZero"/>
        <c:crossBetween val="between"/>
        <c:majorUnit val="5000.01"/>
      </c:valAx>
      <c:valAx>
        <c:axId val="538301224"/>
        <c:scaling>
          <c:orientation val="minMax"/>
          <c:min val="8000"/>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8872800"/>
        <c:crosses val="max"/>
        <c:crossBetween val="between"/>
      </c:valAx>
      <c:dateAx>
        <c:axId val="508872800"/>
        <c:scaling>
          <c:orientation val="minMax"/>
        </c:scaling>
        <c:delete val="1"/>
        <c:axPos val="b"/>
        <c:numFmt formatCode="[$-409]mmm\-yy" sourceLinked="1"/>
        <c:majorTickMark val="out"/>
        <c:minorTickMark val="none"/>
        <c:tickLblPos val="nextTo"/>
        <c:crossAx val="538301224"/>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'F2&amp;F3'!$B$4</c:f>
              <c:strCache>
                <c:ptCount val="1"/>
                <c:pt idx="0">
                  <c:v>ADT at BSE (LHS)</c:v>
                </c:pt>
              </c:strCache>
            </c:strRef>
          </c:tx>
          <c:spPr>
            <a:solidFill>
              <a:srgbClr val="00B050"/>
            </a:solidFill>
            <a:ln>
              <a:noFill/>
            </a:ln>
            <a:effectLst/>
          </c:spPr>
          <c:invertIfNegative val="0"/>
          <c:cat>
            <c:numRef>
              <c:f>'F2&amp;F3'!$A$5:$A$16</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'F2&amp;F3'!$B$5:$B$16</c:f>
              <c:numCache>
                <c:formatCode>[&gt;=10000000]#\,##\,##\,##0;[&gt;=100000]#\,##\,##0;##,##0</c:formatCode>
                <c:ptCount val="12"/>
                <c:pt idx="0">
                  <c:v>4432.38</c:v>
                </c:pt>
                <c:pt idx="1">
                  <c:v>3182.9668181818183</c:v>
                </c:pt>
                <c:pt idx="2">
                  <c:v>2755.5385714285712</c:v>
                </c:pt>
                <c:pt idx="3">
                  <c:v>3533.7944999999991</c:v>
                </c:pt>
                <c:pt idx="4">
                  <c:v>4518.8545454545456</c:v>
                </c:pt>
                <c:pt idx="5">
                  <c:v>5203.16</c:v>
                </c:pt>
                <c:pt idx="6" formatCode="#,##0;\-#,##0;0">
                  <c:v>7247.7254999999996</c:v>
                </c:pt>
                <c:pt idx="7" formatCode="#,##0;\-#,##0;0">
                  <c:v>5010.8952380950004</c:v>
                </c:pt>
                <c:pt idx="8" formatCode="#,##0;\-#,##0;0">
                  <c:v>4362.0763157900001</c:v>
                </c:pt>
                <c:pt idx="9" formatCode="#,##0;\-#,##0;0">
                  <c:v>5625.0295000000006</c:v>
                </c:pt>
                <c:pt idx="10" formatCode="#,##0;\-#,##0;0">
                  <c:v>6815.7186363636347</c:v>
                </c:pt>
                <c:pt idx="11" formatCode="#,##0;\-#,##0;0">
                  <c:v>5525.4642857142853</c:v>
                </c:pt>
              </c:numCache>
            </c:numRef>
          </c:val>
          <c:extLst>
            <c:ext xmlns:c16="http://schemas.microsoft.com/office/drawing/2014/chart" uri="{C3380CC4-5D6E-409C-BE32-E72D297353CC}">
              <c16:uniqueId val="{00000000-1A34-4F9F-908B-44B36BA0E9BD}"/>
            </c:ext>
          </c:extLst>
        </c:ser>
        <c:dLbls>
          <c:showLegendKey val="0"/>
          <c:showVal val="0"/>
          <c:showCatName val="0"/>
          <c:showSerName val="0"/>
          <c:showPercent val="0"/>
          <c:showBubbleSize val="0"/>
        </c:dLbls>
        <c:gapWidth val="219"/>
        <c:overlap val="-27"/>
        <c:axId val="508873976"/>
        <c:axId val="508873192"/>
      </c:barChart>
      <c:lineChart>
        <c:grouping val="standard"/>
        <c:varyColors val="0"/>
        <c:ser>
          <c:idx val="1"/>
          <c:order val="1"/>
          <c:tx>
            <c:strRef>
              <c:f>'F2&amp;F3'!$C$4</c:f>
              <c:strCache>
                <c:ptCount val="1"/>
                <c:pt idx="0">
                  <c:v>ADV of Sensex (RHS)</c:v>
                </c:pt>
              </c:strCache>
            </c:strRef>
          </c:tx>
          <c:spPr>
            <a:ln w="28575" cap="rnd">
              <a:solidFill>
                <a:srgbClr val="FF0000"/>
              </a:solidFill>
              <a:round/>
            </a:ln>
            <a:effectLst/>
          </c:spPr>
          <c:marker>
            <c:symbol val="none"/>
          </c:marker>
          <c:cat>
            <c:numRef>
              <c:f>'F2&amp;F3'!$A$5:$A$16</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'F2&amp;F3'!$C$5:$C$16</c:f>
              <c:numCache>
                <c:formatCode>[&gt;=10000000]#\,##\,##\,##0;[&gt;=100000]#\,##\,##0;##,##0</c:formatCode>
                <c:ptCount val="12"/>
                <c:pt idx="0">
                  <c:v>38347</c:v>
                </c:pt>
                <c:pt idx="1">
                  <c:v>38378.977272727272</c:v>
                </c:pt>
                <c:pt idx="2">
                  <c:v>40115.386666666658</c:v>
                </c:pt>
                <c:pt idx="3">
                  <c:v>43011.3845</c:v>
                </c:pt>
                <c:pt idx="4">
                  <c:v>46211.837272727265</c:v>
                </c:pt>
                <c:pt idx="5">
                  <c:v>48580.33</c:v>
                </c:pt>
                <c:pt idx="6" formatCode="#,##0;\-#,##0;0">
                  <c:v>50782.818000000007</c:v>
                </c:pt>
                <c:pt idx="7" formatCode="#,##0;\-#,##0;0">
                  <c:v>50782.818000000007</c:v>
                </c:pt>
                <c:pt idx="8" formatCode="#,##0;\-#,##0;0">
                  <c:v>48877.900526315789</c:v>
                </c:pt>
                <c:pt idx="9" formatCode="#,##0;\-#,##0;0">
                  <c:v>49822.895499999999</c:v>
                </c:pt>
                <c:pt idx="10" formatCode="#,##0;\-#,##0;0">
                  <c:v>52399.699090909089</c:v>
                </c:pt>
                <c:pt idx="11" formatCode="#,##0;\-#,##0;0">
                  <c:v>52694.251904761906</c:v>
                </c:pt>
              </c:numCache>
            </c:numRef>
          </c:val>
          <c:smooth val="0"/>
          <c:extLst>
            <c:ext xmlns:c16="http://schemas.microsoft.com/office/drawing/2014/chart" uri="{C3380CC4-5D6E-409C-BE32-E72D297353CC}">
              <c16:uniqueId val="{00000001-1A34-4F9F-908B-44B36BA0E9BD}"/>
            </c:ext>
          </c:extLst>
        </c:ser>
        <c:dLbls>
          <c:showLegendKey val="0"/>
          <c:showVal val="0"/>
          <c:showCatName val="0"/>
          <c:showSerName val="0"/>
          <c:showPercent val="0"/>
          <c:showBubbleSize val="0"/>
        </c:dLbls>
        <c:marker val="1"/>
        <c:smooth val="0"/>
        <c:axId val="713810008"/>
        <c:axId val="713813536"/>
      </c:lineChart>
      <c:dateAx>
        <c:axId val="50887397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8873192"/>
        <c:crosses val="autoZero"/>
        <c:auto val="1"/>
        <c:lblOffset val="100"/>
        <c:baseTimeUnit val="months"/>
      </c:dateAx>
      <c:valAx>
        <c:axId val="508873192"/>
        <c:scaling>
          <c:orientation val="minMax"/>
          <c:min val="2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08873976"/>
        <c:crosses val="autoZero"/>
        <c:crossBetween val="between"/>
      </c:valAx>
      <c:valAx>
        <c:axId val="713813536"/>
        <c:scaling>
          <c:orientation val="minMax"/>
          <c:min val="30000"/>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713810008"/>
        <c:crosses val="max"/>
        <c:crossBetween val="between"/>
        <c:majorUnit val="5000"/>
      </c:valAx>
      <c:dateAx>
        <c:axId val="713810008"/>
        <c:scaling>
          <c:orientation val="minMax"/>
        </c:scaling>
        <c:delete val="1"/>
        <c:axPos val="b"/>
        <c:numFmt formatCode="[$-409]mmm\-yy" sourceLinked="1"/>
        <c:majorTickMark val="out"/>
        <c:minorTickMark val="none"/>
        <c:tickLblPos val="nextTo"/>
        <c:crossAx val="71381353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'F4&amp;5 '!$E$4</c:f>
              <c:strCache>
                <c:ptCount val="1"/>
                <c:pt idx="0">
                  <c:v>Return (LHS)</c:v>
                </c:pt>
              </c:strCache>
            </c:strRef>
          </c:tx>
          <c:spPr>
            <a:solidFill>
              <a:srgbClr val="00B050"/>
            </a:solidFill>
            <a:ln>
              <a:noFill/>
            </a:ln>
            <a:effectLst/>
          </c:spPr>
          <c:invertIfNegative val="0"/>
          <c:cat>
            <c:strRef>
              <c:f>'F4&amp;5 '!$D$5:$D$14</c:f>
              <c:strCache>
                <c:ptCount val="10"/>
                <c:pt idx="0">
                  <c:v>BSEREAL</c:v>
                </c:pt>
                <c:pt idx="1">
                  <c:v>BSEMET</c:v>
                </c:pt>
                <c:pt idx="2">
                  <c:v>BSECG</c:v>
                </c:pt>
                <c:pt idx="3">
                  <c:v>BSECD</c:v>
                </c:pt>
                <c:pt idx="4">
                  <c:v>BSETECK</c:v>
                </c:pt>
                <c:pt idx="5">
                  <c:v>BSEBANK</c:v>
                </c:pt>
                <c:pt idx="6">
                  <c:v>BSEPSU</c:v>
                </c:pt>
                <c:pt idx="7">
                  <c:v>BSEOIL</c:v>
                </c:pt>
                <c:pt idx="8">
                  <c:v>BSEPOWER</c:v>
                </c:pt>
                <c:pt idx="9">
                  <c:v>BSEAUTO</c:v>
                </c:pt>
              </c:strCache>
            </c:strRef>
          </c:cat>
          <c:val>
            <c:numRef>
              <c:f>'F4&amp;5 '!$E$5:$E$14</c:f>
              <c:numCache>
                <c:formatCode>0.0</c:formatCode>
                <c:ptCount val="10"/>
                <c:pt idx="0">
                  <c:v>16.121181604565304</c:v>
                </c:pt>
                <c:pt idx="1">
                  <c:v>12.573808917879958</c:v>
                </c:pt>
                <c:pt idx="2">
                  <c:v>3.1493774450977785</c:v>
                </c:pt>
                <c:pt idx="3">
                  <c:v>2.2794945837618874</c:v>
                </c:pt>
                <c:pt idx="4">
                  <c:v>1.8957575244490599</c:v>
                </c:pt>
                <c:pt idx="5">
                  <c:v>-0.40627720776479359</c:v>
                </c:pt>
                <c:pt idx="6">
                  <c:v>-0.43952539487202014</c:v>
                </c:pt>
                <c:pt idx="7">
                  <c:v>-4.5363021011393219</c:v>
                </c:pt>
                <c:pt idx="8">
                  <c:v>-5.0430415027508779</c:v>
                </c:pt>
                <c:pt idx="9">
                  <c:v>-5.3952673255997841</c:v>
                </c:pt>
              </c:numCache>
            </c:numRef>
          </c:val>
          <c:extLst>
            <c:ext xmlns:c16="http://schemas.microsoft.com/office/drawing/2014/chart" uri="{C3380CC4-5D6E-409C-BE32-E72D297353CC}">
              <c16:uniqueId val="{00000000-4C7E-4DF9-B778-D3ECCD62A0C7}"/>
            </c:ext>
          </c:extLst>
        </c:ser>
        <c:dLbls>
          <c:showLegendKey val="0"/>
          <c:showVal val="0"/>
          <c:showCatName val="0"/>
          <c:showSerName val="0"/>
          <c:showPercent val="0"/>
          <c:showBubbleSize val="0"/>
        </c:dLbls>
        <c:gapWidth val="219"/>
        <c:overlap val="-27"/>
        <c:axId val="535755272"/>
        <c:axId val="517544424"/>
      </c:barChart>
      <c:lineChart>
        <c:grouping val="standard"/>
        <c:varyColors val="0"/>
        <c:ser>
          <c:idx val="1"/>
          <c:order val="1"/>
          <c:tx>
            <c:strRef>
              <c:f>'F4&amp;5 '!$F$4</c:f>
              <c:strCache>
                <c:ptCount val="1"/>
                <c:pt idx="0">
                  <c:v>Volatility (RHS)</c:v>
                </c:pt>
              </c:strCache>
            </c:strRef>
          </c:tx>
          <c:spPr>
            <a:ln w="28575" cap="rnd">
              <a:solidFill>
                <a:srgbClr val="FF0000"/>
              </a:solidFill>
              <a:round/>
            </a:ln>
            <a:effectLst/>
          </c:spPr>
          <c:marker>
            <c:symbol val="none"/>
          </c:marker>
          <c:cat>
            <c:strRef>
              <c:f>'F4&amp;5 '!$D$5:$D$14</c:f>
              <c:strCache>
                <c:ptCount val="10"/>
                <c:pt idx="0">
                  <c:v>BSEREAL</c:v>
                </c:pt>
                <c:pt idx="1">
                  <c:v>BSEMET</c:v>
                </c:pt>
                <c:pt idx="2">
                  <c:v>BSECG</c:v>
                </c:pt>
                <c:pt idx="3">
                  <c:v>BSECD</c:v>
                </c:pt>
                <c:pt idx="4">
                  <c:v>BSETECK</c:v>
                </c:pt>
                <c:pt idx="5">
                  <c:v>BSEBANK</c:v>
                </c:pt>
                <c:pt idx="6">
                  <c:v>BSEPSU</c:v>
                </c:pt>
                <c:pt idx="7">
                  <c:v>BSEOIL</c:v>
                </c:pt>
                <c:pt idx="8">
                  <c:v>BSEPOWER</c:v>
                </c:pt>
                <c:pt idx="9">
                  <c:v>BSEAUTO</c:v>
                </c:pt>
              </c:strCache>
            </c:strRef>
          </c:cat>
          <c:val>
            <c:numRef>
              <c:f>'F4&amp;5 '!$F$5:$F$14</c:f>
              <c:numCache>
                <c:formatCode>0.0</c:formatCode>
                <c:ptCount val="10"/>
                <c:pt idx="0">
                  <c:v>1.5918477598308574</c:v>
                </c:pt>
                <c:pt idx="1">
                  <c:v>1.7963439070782456</c:v>
                </c:pt>
                <c:pt idx="2">
                  <c:v>0.91148966099665851</c:v>
                </c:pt>
                <c:pt idx="3">
                  <c:v>0.64398912297785704</c:v>
                </c:pt>
                <c:pt idx="4">
                  <c:v>0.7482928147955763</c:v>
                </c:pt>
                <c:pt idx="5">
                  <c:v>0.91470538609363572</c:v>
                </c:pt>
                <c:pt idx="6">
                  <c:v>0.65825158848745158</c:v>
                </c:pt>
                <c:pt idx="7">
                  <c:v>0.56341333687074535</c:v>
                </c:pt>
                <c:pt idx="8">
                  <c:v>0.88813155478052919</c:v>
                </c:pt>
                <c:pt idx="9">
                  <c:v>0.66333303347633898</c:v>
                </c:pt>
              </c:numCache>
            </c:numRef>
          </c:val>
          <c:smooth val="0"/>
          <c:extLst>
            <c:ext xmlns:c16="http://schemas.microsoft.com/office/drawing/2014/chart" uri="{C3380CC4-5D6E-409C-BE32-E72D297353CC}">
              <c16:uniqueId val="{00000001-4C7E-4DF9-B778-D3ECCD62A0C7}"/>
            </c:ext>
          </c:extLst>
        </c:ser>
        <c:dLbls>
          <c:showLegendKey val="0"/>
          <c:showVal val="0"/>
          <c:showCatName val="0"/>
          <c:showSerName val="0"/>
          <c:showPercent val="0"/>
          <c:showBubbleSize val="0"/>
        </c:dLbls>
        <c:marker val="1"/>
        <c:smooth val="0"/>
        <c:axId val="517546384"/>
        <c:axId val="517544816"/>
      </c:lineChart>
      <c:catAx>
        <c:axId val="5357552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4424"/>
        <c:crosses val="autoZero"/>
        <c:auto val="1"/>
        <c:lblAlgn val="ctr"/>
        <c:lblOffset val="100"/>
        <c:noMultiLvlLbl val="0"/>
      </c:catAx>
      <c:valAx>
        <c:axId val="517544424"/>
        <c:scaling>
          <c:orientation val="minMax"/>
          <c:max val="18"/>
          <c:min val="-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5755272"/>
        <c:crosses val="autoZero"/>
        <c:crossBetween val="between"/>
        <c:majorUnit val="2"/>
      </c:valAx>
      <c:valAx>
        <c:axId val="517544816"/>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6384"/>
        <c:crosses val="max"/>
        <c:crossBetween val="between"/>
        <c:majorUnit val="0.5"/>
      </c:valAx>
      <c:catAx>
        <c:axId val="517546384"/>
        <c:scaling>
          <c:orientation val="minMax"/>
        </c:scaling>
        <c:delete val="1"/>
        <c:axPos val="b"/>
        <c:numFmt formatCode="General" sourceLinked="1"/>
        <c:majorTickMark val="out"/>
        <c:minorTickMark val="none"/>
        <c:tickLblPos val="nextTo"/>
        <c:crossAx val="51754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'F4&amp;5 '!$B$4</c:f>
              <c:strCache>
                <c:ptCount val="1"/>
                <c:pt idx="0">
                  <c:v>Return (LHS)</c:v>
                </c:pt>
              </c:strCache>
            </c:strRef>
          </c:tx>
          <c:spPr>
            <a:solidFill>
              <a:srgbClr val="00B050"/>
            </a:solidFill>
            <a:ln>
              <a:noFill/>
            </a:ln>
            <a:effectLst/>
          </c:spPr>
          <c:invertIfNegative val="0"/>
          <c:cat>
            <c:strRef>
              <c:f>'F4&amp;5 '!$A$5:$A$14</c:f>
              <c:strCache>
                <c:ptCount val="10"/>
                <c:pt idx="0">
                  <c:v>NIFTYREAL</c:v>
                </c:pt>
                <c:pt idx="1">
                  <c:v>NIFTYIT</c:v>
                </c:pt>
                <c:pt idx="2">
                  <c:v>NIFTYINFR</c:v>
                </c:pt>
                <c:pt idx="3">
                  <c:v>NIPHARM</c:v>
                </c:pt>
                <c:pt idx="4">
                  <c:v>NIFTYSER</c:v>
                </c:pt>
                <c:pt idx="5">
                  <c:v>NIFTYFMCG</c:v>
                </c:pt>
                <c:pt idx="6">
                  <c:v>NSEBANK</c:v>
                </c:pt>
                <c:pt idx="7">
                  <c:v>NIFTYPSE</c:v>
                </c:pt>
                <c:pt idx="8">
                  <c:v>NIFTYPSU</c:v>
                </c:pt>
                <c:pt idx="9">
                  <c:v>NIFTYENR</c:v>
                </c:pt>
              </c:strCache>
            </c:strRef>
          </c:cat>
          <c:val>
            <c:numRef>
              <c:f>'F4&amp;5 '!$B$5:$B$14</c:f>
              <c:numCache>
                <c:formatCode>0.0</c:formatCode>
                <c:ptCount val="10"/>
                <c:pt idx="0">
                  <c:v>15.903474342200896</c:v>
                </c:pt>
                <c:pt idx="1">
                  <c:v>4.498251508502471</c:v>
                </c:pt>
                <c:pt idx="2">
                  <c:v>2.1443797891340655</c:v>
                </c:pt>
                <c:pt idx="3">
                  <c:v>0.81347972241052613</c:v>
                </c:pt>
                <c:pt idx="4">
                  <c:v>0.18661702394955348</c:v>
                </c:pt>
                <c:pt idx="5">
                  <c:v>-0.11442598605830856</c:v>
                </c:pt>
                <c:pt idx="6">
                  <c:v>-0.54023041395137028</c:v>
                </c:pt>
                <c:pt idx="7">
                  <c:v>-0.67877377439775621</c:v>
                </c:pt>
                <c:pt idx="8">
                  <c:v>-3.0748769255200981</c:v>
                </c:pt>
                <c:pt idx="9">
                  <c:v>-4.4810416498506704</c:v>
                </c:pt>
              </c:numCache>
            </c:numRef>
          </c:val>
          <c:extLst>
            <c:ext xmlns:c16="http://schemas.microsoft.com/office/drawing/2014/chart" uri="{C3380CC4-5D6E-409C-BE32-E72D297353CC}">
              <c16:uniqueId val="{00000000-7018-4F72-8108-6E49B608438D}"/>
            </c:ext>
          </c:extLst>
        </c:ser>
        <c:dLbls>
          <c:showLegendKey val="0"/>
          <c:showVal val="0"/>
          <c:showCatName val="0"/>
          <c:showSerName val="0"/>
          <c:showPercent val="0"/>
          <c:showBubbleSize val="0"/>
        </c:dLbls>
        <c:gapWidth val="219"/>
        <c:overlap val="-27"/>
        <c:axId val="517546776"/>
        <c:axId val="517545208"/>
      </c:barChart>
      <c:lineChart>
        <c:grouping val="standard"/>
        <c:varyColors val="0"/>
        <c:ser>
          <c:idx val="1"/>
          <c:order val="1"/>
          <c:tx>
            <c:strRef>
              <c:f>'F4&amp;5 '!$C$4</c:f>
              <c:strCache>
                <c:ptCount val="1"/>
                <c:pt idx="0">
                  <c:v>Volatility (RHS)</c:v>
                </c:pt>
              </c:strCache>
            </c:strRef>
          </c:tx>
          <c:spPr>
            <a:ln w="28575" cap="rnd">
              <a:solidFill>
                <a:srgbClr val="FF0000"/>
              </a:solidFill>
              <a:round/>
            </a:ln>
            <a:effectLst/>
          </c:spPr>
          <c:marker>
            <c:symbol val="none"/>
          </c:marker>
          <c:cat>
            <c:strRef>
              <c:f>'F4&amp;5 '!$A$5:$A$14</c:f>
              <c:strCache>
                <c:ptCount val="10"/>
                <c:pt idx="0">
                  <c:v>NIFTYREAL</c:v>
                </c:pt>
                <c:pt idx="1">
                  <c:v>NIFTYIT</c:v>
                </c:pt>
                <c:pt idx="2">
                  <c:v>NIFTYINFR</c:v>
                </c:pt>
                <c:pt idx="3">
                  <c:v>NIPHARM</c:v>
                </c:pt>
                <c:pt idx="4">
                  <c:v>NIFTYSER</c:v>
                </c:pt>
                <c:pt idx="5">
                  <c:v>NIFTYFMCG</c:v>
                </c:pt>
                <c:pt idx="6">
                  <c:v>NSEBANK</c:v>
                </c:pt>
                <c:pt idx="7">
                  <c:v>NIFTYPSE</c:v>
                </c:pt>
                <c:pt idx="8">
                  <c:v>NIFTYPSU</c:v>
                </c:pt>
                <c:pt idx="9">
                  <c:v>NIFTYENR</c:v>
                </c:pt>
              </c:strCache>
            </c:strRef>
          </c:cat>
          <c:val>
            <c:numRef>
              <c:f>'F4&amp;5 '!$C$5:$C$14</c:f>
              <c:numCache>
                <c:formatCode>0.0</c:formatCode>
                <c:ptCount val="10"/>
                <c:pt idx="0">
                  <c:v>1.6239384064641915</c:v>
                </c:pt>
                <c:pt idx="1">
                  <c:v>0.95778431988512625</c:v>
                </c:pt>
                <c:pt idx="2">
                  <c:v>0.54937938752418958</c:v>
                </c:pt>
                <c:pt idx="3">
                  <c:v>1.3939984481901324</c:v>
                </c:pt>
                <c:pt idx="4">
                  <c:v>0.66702314325599643</c:v>
                </c:pt>
                <c:pt idx="5">
                  <c:v>0.41238719159800785</c:v>
                </c:pt>
                <c:pt idx="6">
                  <c:v>0.9189841088495273</c:v>
                </c:pt>
                <c:pt idx="7">
                  <c:v>0.58610534658255331</c:v>
                </c:pt>
                <c:pt idx="8">
                  <c:v>1.1660648018587192</c:v>
                </c:pt>
                <c:pt idx="9">
                  <c:v>0.59332609052564811</c:v>
                </c:pt>
              </c:numCache>
            </c:numRef>
          </c:val>
          <c:smooth val="0"/>
          <c:extLst>
            <c:ext xmlns:c16="http://schemas.microsoft.com/office/drawing/2014/chart" uri="{C3380CC4-5D6E-409C-BE32-E72D297353CC}">
              <c16:uniqueId val="{00000001-7018-4F72-8108-6E49B608438D}"/>
            </c:ext>
          </c:extLst>
        </c:ser>
        <c:dLbls>
          <c:showLegendKey val="0"/>
          <c:showVal val="0"/>
          <c:showCatName val="0"/>
          <c:showSerName val="0"/>
          <c:showPercent val="0"/>
          <c:showBubbleSize val="0"/>
        </c:dLbls>
        <c:marker val="1"/>
        <c:smooth val="0"/>
        <c:axId val="517547168"/>
        <c:axId val="517545992"/>
      </c:lineChart>
      <c:catAx>
        <c:axId val="5175467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5208"/>
        <c:crosses val="autoZero"/>
        <c:auto val="1"/>
        <c:lblAlgn val="ctr"/>
        <c:lblOffset val="100"/>
        <c:noMultiLvlLbl val="0"/>
      </c:catAx>
      <c:valAx>
        <c:axId val="517545208"/>
        <c:scaling>
          <c:orientation val="minMax"/>
          <c:max val="16"/>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6776"/>
        <c:crosses val="autoZero"/>
        <c:crossBetween val="between"/>
      </c:valAx>
      <c:valAx>
        <c:axId val="5175459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7168"/>
        <c:crosses val="max"/>
        <c:crossBetween val="between"/>
        <c:majorUnit val="0.5"/>
      </c:valAx>
      <c:catAx>
        <c:axId val="517547168"/>
        <c:scaling>
          <c:orientation val="minMax"/>
        </c:scaling>
        <c:delete val="1"/>
        <c:axPos val="b"/>
        <c:numFmt formatCode="General" sourceLinked="1"/>
        <c:majorTickMark val="out"/>
        <c:minorTickMark val="none"/>
        <c:tickLblPos val="nextTo"/>
        <c:crossAx val="517545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NSE (RHS)</c:v>
                </c:pt>
              </c:strCache>
            </c:strRef>
          </c:tx>
          <c:spPr>
            <a:solidFill>
              <a:srgbClr val="00B050"/>
            </a:solidFill>
            <a:ln>
              <a:noFill/>
            </a:ln>
            <a:effectLst/>
          </c:spPr>
          <c:invertIfNegative val="0"/>
          <c:cat>
            <c:numRef>
              <c:f>'F4 '!$A$2:$A$13</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'F4 '!$E$2:$E$13</c:f>
              <c:numCache>
                <c:formatCode>[&gt;=10000000]#\,##\,##\,##0;[&gt;=100000]#\,##\,##0;##,##0</c:formatCode>
                <c:ptCount val="12"/>
                <c:pt idx="0">
                  <c:v>1877589.023486543</c:v>
                </c:pt>
                <c:pt idx="1">
                  <c:v>2157023.5625705258</c:v>
                </c:pt>
                <c:pt idx="2">
                  <c:v>2632458.2987257265</c:v>
                </c:pt>
                <c:pt idx="3">
                  <c:v>2844478.2670458574</c:v>
                </c:pt>
                <c:pt idx="4">
                  <c:v>3057374.9092755187</c:v>
                </c:pt>
                <c:pt idx="5">
                  <c:v>3595657.0081937932</c:v>
                </c:pt>
                <c:pt idx="6">
                  <c:v>4301098.4515000004</c:v>
                </c:pt>
                <c:pt idx="7">
                  <c:v>4438327.3871428566</c:v>
                </c:pt>
                <c:pt idx="8">
                  <c:v>4665024.3789473688</c:v>
                </c:pt>
                <c:pt idx="9">
                  <c:v>4332641.5880000005</c:v>
                </c:pt>
                <c:pt idx="10">
                  <c:v>4608723.0909090908</c:v>
                </c:pt>
                <c:pt idx="11">
                  <c:v>5386820.5952380951</c:v>
                </c:pt>
              </c:numCache>
            </c:numRef>
          </c:val>
          <c:extLst>
            <c:ext xmlns:c16="http://schemas.microsoft.com/office/drawing/2014/chart" uri="{C3380CC4-5D6E-409C-BE32-E72D297353CC}">
              <c16:uniqueId val="{00000000-1C1B-47F9-BE72-E6B72C7A624F}"/>
            </c:ext>
          </c:extLst>
        </c:ser>
        <c:dLbls>
          <c:showLegendKey val="0"/>
          <c:showVal val="0"/>
          <c:showCatName val="0"/>
          <c:showSerName val="0"/>
          <c:showPercent val="0"/>
          <c:showBubbleSize val="0"/>
        </c:dLbls>
        <c:gapWidth val="219"/>
        <c:overlap val="-27"/>
        <c:axId val="537559904"/>
        <c:axId val="537560296"/>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'!$A$2:$A$13</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'F4 '!$D$2:$D$13</c:f>
              <c:numCache>
                <c:formatCode>#,##0</c:formatCode>
                <c:ptCount val="12"/>
                <c:pt idx="0">
                  <c:v>88005.567619047622</c:v>
                </c:pt>
                <c:pt idx="1">
                  <c:v>123934.84768617614</c:v>
                </c:pt>
                <c:pt idx="2">
                  <c:v>161548.20265396428</c:v>
                </c:pt>
                <c:pt idx="3">
                  <c:v>218924.7232084875</c:v>
                </c:pt>
                <c:pt idx="4">
                  <c:v>222827.48463496024</c:v>
                </c:pt>
                <c:pt idx="5">
                  <c:v>246651.46454715001</c:v>
                </c:pt>
                <c:pt idx="6">
                  <c:v>291858.57797283505</c:v>
                </c:pt>
                <c:pt idx="7">
                  <c:v>295833.62791219522</c:v>
                </c:pt>
                <c:pt idx="8">
                  <c:v>317790.11645149474</c:v>
                </c:pt>
                <c:pt idx="9">
                  <c:v>323982.19198160624</c:v>
                </c:pt>
                <c:pt idx="10">
                  <c:v>303244.85652462277</c:v>
                </c:pt>
                <c:pt idx="11">
                  <c:v>302849.34979702381</c:v>
                </c:pt>
              </c:numCache>
            </c:numRef>
          </c:val>
          <c:smooth val="0"/>
          <c:extLst>
            <c:ext xmlns:c16="http://schemas.microsoft.com/office/drawing/2014/chart" uri="{C3380CC4-5D6E-409C-BE32-E72D297353CC}">
              <c16:uniqueId val="{00000001-1C1B-47F9-BE72-E6B72C7A624F}"/>
            </c:ext>
          </c:extLst>
        </c:ser>
        <c:dLbls>
          <c:showLegendKey val="0"/>
          <c:showVal val="0"/>
          <c:showCatName val="0"/>
          <c:showSerName val="0"/>
          <c:showPercent val="0"/>
          <c:showBubbleSize val="0"/>
        </c:dLbls>
        <c:marker val="1"/>
        <c:smooth val="0"/>
        <c:axId val="517544032"/>
        <c:axId val="537560688"/>
      </c:lineChart>
      <c:dateAx>
        <c:axId val="51754403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7560688"/>
        <c:crosses val="autoZero"/>
        <c:auto val="1"/>
        <c:lblOffset val="100"/>
        <c:baseTimeUnit val="months"/>
      </c:dateAx>
      <c:valAx>
        <c:axId val="53756068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BSE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544032"/>
        <c:crosses val="autoZero"/>
        <c:crossBetween val="between"/>
      </c:valAx>
      <c:valAx>
        <c:axId val="537560296"/>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NSE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7559904"/>
        <c:crosses val="max"/>
        <c:crossBetween val="between"/>
      </c:valAx>
      <c:dateAx>
        <c:axId val="537559904"/>
        <c:scaling>
          <c:orientation val="minMax"/>
        </c:scaling>
        <c:delete val="1"/>
        <c:axPos val="b"/>
        <c:numFmt formatCode="[$-409]mmm\-yy" sourceLinked="1"/>
        <c:majorTickMark val="out"/>
        <c:minorTickMark val="none"/>
        <c:tickLblPos val="nextTo"/>
        <c:crossAx val="53756029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'F15'!$E$15</c:f>
              <c:strCache>
                <c:ptCount val="1"/>
                <c:pt idx="0">
                  <c:v>Jun-21</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'F15'!$F$14:$H$14</c:f>
              <c:strCache>
                <c:ptCount val="3"/>
                <c:pt idx="0">
                  <c:v>Weekly</c:v>
                </c:pt>
                <c:pt idx="1">
                  <c:v>1 Month</c:v>
                </c:pt>
                <c:pt idx="2">
                  <c:v>&gt; 1 Month</c:v>
                </c:pt>
              </c:strCache>
            </c:strRef>
          </c:cat>
          <c:val>
            <c:numRef>
              <c:f>'F15'!$F$15:$H$15</c:f>
              <c:numCache>
                <c:formatCode>#,##0.0</c:formatCode>
                <c:ptCount val="3"/>
                <c:pt idx="0">
                  <c:v>75.034890807351701</c:v>
                </c:pt>
                <c:pt idx="1">
                  <c:v>24.50846309166873</c:v>
                </c:pt>
                <c:pt idx="2">
                  <c:v>0.45664610097956215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977-45E3-857F-0D91FB5EED7B}"/>
            </c:ext>
          </c:extLst>
        </c:ser>
        <c:ser>
          <c:idx val="1"/>
          <c:order val="1"/>
          <c:tx>
            <c:strRef>
              <c:f>'F15'!$E$16</c:f>
              <c:strCache>
                <c:ptCount val="1"/>
                <c:pt idx="0">
                  <c:v>Jul-21</c:v>
                </c:pt>
              </c:strCache>
            </c:strRef>
          </c:tx>
          <c:spPr>
            <a:solidFill>
              <a:srgbClr val="00B05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'F15'!$F$14:$H$14</c:f>
              <c:strCache>
                <c:ptCount val="3"/>
                <c:pt idx="0">
                  <c:v>Weekly</c:v>
                </c:pt>
                <c:pt idx="1">
                  <c:v>1 Month</c:v>
                </c:pt>
                <c:pt idx="2">
                  <c:v>&gt; 1 Month</c:v>
                </c:pt>
              </c:strCache>
            </c:strRef>
          </c:cat>
          <c:val>
            <c:numRef>
              <c:f>'F15'!$F$16:$H$16</c:f>
              <c:numCache>
                <c:formatCode>#,##0.0</c:formatCode>
                <c:ptCount val="3"/>
                <c:pt idx="0">
                  <c:v>74.947741439541389</c:v>
                </c:pt>
                <c:pt idx="1">
                  <c:v>24.515765241508184</c:v>
                </c:pt>
                <c:pt idx="2">
                  <c:v>0.53649331895043861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977-45E3-857F-0D91FB5EED7B}"/>
            </c:ext>
          </c:extLst>
        </c:ser>
        <c:dLbls>
          <c:showLegendKey val="0"/>
          <c:showVal val="0"/>
          <c:showCatName val="0"/>
          <c:showSerName val="0"/>
          <c:showPercent val="0"/>
          <c:showBubbleSize val="0"/>
        </c:dLbls>
        <c:gapWidth val="150"/>
        <c:axId val="537558728"/>
        <c:axId val="537559120"/>
      </c:barChart>
      <c:catAx>
        <c:axId val="537558728"/>
        <c:scaling>
          <c:orientation val="minMax"/>
        </c:scaling>
        <c:delete val="0"/>
        <c:axPos val="l"/>
        <c:numFmt formatCode="General" sourceLinked="1"/>
        <c:majorTickMark val="out"/>
        <c:minorTickMark val="cross"/>
        <c:tickLblPos val="nextTo"/>
        <c:crossAx val="537559120"/>
        <c:crosses val="autoZero"/>
        <c:auto val="1"/>
        <c:lblAlgn val="ctr"/>
        <c:lblOffset val="100"/>
        <c:noMultiLvlLbl val="1"/>
      </c:catAx>
      <c:valAx>
        <c:axId val="537559120"/>
        <c:scaling>
          <c:orientation val="minMax"/>
        </c:scaling>
        <c:delete val="1"/>
        <c:axPos val="t"/>
        <c:numFmt formatCode="#,##0.0" sourceLinked="1"/>
        <c:majorTickMark val="out"/>
        <c:minorTickMark val="cross"/>
        <c:tickLblPos val="nextTo"/>
        <c:crossAx val="537558728"/>
        <c:crosses val="max"/>
        <c:crossBetween val="between"/>
      </c:valAx>
    </c:plotArea>
    <c:legend>
      <c:legendPos val="b"/>
      <c:overlay val="0"/>
    </c:legend>
    <c:plotVisOnly val="1"/>
    <c:dispBlanksAs val="zero"/>
    <c:showDLblsOverMax val="1"/>
  </c:chart>
  <c:spPr>
    <a:solidFill>
      <a:srgbClr val="FFFFFF"/>
    </a:solidFill>
  </c:spPr>
  <c:txPr>
    <a:bodyPr/>
    <a:lstStyle/>
    <a:p>
      <a:pPr>
        <a:defRPr sz="10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'F6'!$C$2</c:f>
              <c:strCache>
                <c:ptCount val="1"/>
                <c:pt idx="0">
                  <c:v>NSE (LHS)</c:v>
                </c:pt>
              </c:strCache>
            </c:strRef>
          </c:tx>
          <c:spPr>
            <a:ln w="28575" cap="rnd">
              <a:solidFill>
                <a:schemeClr val="accent1"/>
              </a:solidFill>
              <a:round/>
            </a:ln>
            <a:effectLst/>
          </c:spPr>
          <c:marker>
            <c:symbol val="none"/>
          </c:marker>
          <c:cat>
            <c:numRef>
              <c:f>'F6'!$A$3:$A$14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'F6'!$C$3:$C$14</c:f>
              <c:numCache>
                <c:formatCode>0\,00\,000;\-0\,00\,000;0</c:formatCode>
                <c:ptCount val="12"/>
                <c:pt idx="0">
                  <c:v>976864.32951144269</c:v>
                </c:pt>
                <c:pt idx="1">
                  <c:v>1120073.5900000001</c:v>
                </c:pt>
                <c:pt idx="2">
                  <c:v>977668.28209999995</c:v>
                </c:pt>
                <c:pt idx="3">
                  <c:v>1024112.012</c:v>
                </c:pt>
                <c:pt idx="4">
                  <c:v>1160618.8376070948</c:v>
                </c:pt>
                <c:pt idx="5">
                  <c:v>1001205.5174880214</c:v>
                </c:pt>
                <c:pt idx="6">
                  <c:v>1082488.916</c:v>
                </c:pt>
                <c:pt idx="7">
                  <c:v>1444570.959</c:v>
                </c:pt>
                <c:pt idx="8">
                  <c:v>1490637.77</c:v>
                </c:pt>
                <c:pt idx="9">
                  <c:v>1105377.56</c:v>
                </c:pt>
                <c:pt idx="10">
                  <c:v>1378693.62</c:v>
                </c:pt>
                <c:pt idx="11" formatCode="[&gt;=10000000]#\,##\,##\,##0;[&gt;=100000]#\,##\,##0;##,##0">
                  <c:v>1386768.69</c:v>
                </c:pt>
              </c:numCache>
            </c:numRef>
          </c:val>
          <c:smooth val="0"/>
          <c:extLst>
            <c:ext xmlns:c16="http://schemas.microsoft.com/office/drawing/2014/chart" uri="{C3380CC4-5D6E-409C-BE32-E72D297353CC}">
              <c16:uniqueId val="{00000000-5836-4828-8452-E87C46D88D55}"/>
            </c:ext>
          </c:extLst>
        </c:ser>
        <c:ser>
          <c:idx val="3"/>
          <c:order val="2"/>
          <c:tx>
            <c:strRef>
              <c:f>'F6'!$B$2</c:f>
              <c:strCache>
                <c:ptCount val="1"/>
                <c:pt idx="0">
                  <c:v>BSE  (LHS)</c:v>
                </c:pt>
              </c:strCache>
            </c:strRef>
          </c:tx>
          <c:spPr>
            <a:ln w="28575" cap="rnd">
              <a:solidFill>
                <a:schemeClr val="accent4"/>
              </a:solidFill>
              <a:round/>
            </a:ln>
            <a:effectLst/>
          </c:spPr>
          <c:marker>
            <c:symbol val="none"/>
          </c:marker>
          <c:cat>
            <c:numRef>
              <c:f>'F6'!$A$3:$A$14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'F6'!$B$3:$B$14</c:f>
              <c:numCache>
                <c:formatCode>0\,00\,000;\-0\,00\,000;0</c:formatCode>
                <c:ptCount val="12"/>
                <c:pt idx="0">
                  <c:v>451790.26</c:v>
                </c:pt>
                <c:pt idx="1">
                  <c:v>429477.39090000006</c:v>
                </c:pt>
                <c:pt idx="2">
                  <c:v>408890.7488</c:v>
                </c:pt>
                <c:pt idx="3">
                  <c:v>402246.89210000006</c:v>
                </c:pt>
                <c:pt idx="4">
                  <c:v>496940.56949999998</c:v>
                </c:pt>
                <c:pt idx="5" formatCode="#,##0">
                  <c:v>440262.21429999999</c:v>
                </c:pt>
                <c:pt idx="6">
                  <c:v>449170.83260000002</c:v>
                </c:pt>
                <c:pt idx="7">
                  <c:v>563283.70030000003</c:v>
                </c:pt>
                <c:pt idx="8">
                  <c:v>448635.7488</c:v>
                </c:pt>
                <c:pt idx="9">
                  <c:v>417945.56279999996</c:v>
                </c:pt>
                <c:pt idx="10">
                  <c:v>503265.83970000001</c:v>
                </c:pt>
                <c:pt idx="11" formatCode="[&gt;=10000000]#\,##\,##\,##0;[&gt;=100000]#\,##\,##0;##,##0">
                  <c:v>500963.52590000007</c:v>
                </c:pt>
              </c:numCache>
            </c:numRef>
          </c:val>
          <c:smooth val="0"/>
          <c:extLst>
            <c:ext xmlns:c16="http://schemas.microsoft.com/office/drawing/2014/chart" uri="{C3380CC4-5D6E-409C-BE32-E72D297353CC}">
              <c16:uniqueId val="{00000001-5836-4828-8452-E87C46D88D55}"/>
            </c:ext>
          </c:extLst>
        </c:ser>
        <c:dLbls>
          <c:showLegendKey val="0"/>
          <c:showVal val="0"/>
          <c:showCatName val="0"/>
          <c:showSerName val="0"/>
          <c:showPercent val="0"/>
          <c:showBubbleSize val="0"/>
        </c:dLbls>
        <c:marker val="1"/>
        <c:smooth val="0"/>
        <c:axId val="537561080"/>
        <c:axId val="537559512"/>
      </c:lineChart>
      <c:lineChart>
        <c:grouping val="standard"/>
        <c:varyColors val="0"/>
        <c:ser>
          <c:idx val="1"/>
          <c:order val="1"/>
          <c:tx>
            <c:strRef>
              <c:f>'F6'!$D$2</c:f>
              <c:strCache>
                <c:ptCount val="1"/>
                <c:pt idx="0">
                  <c:v>MSEI (RHS)</c:v>
                </c:pt>
              </c:strCache>
            </c:strRef>
          </c:tx>
          <c:spPr>
            <a:ln w="28575" cap="rnd">
              <a:solidFill>
                <a:schemeClr val="accent2"/>
              </a:solidFill>
              <a:round/>
            </a:ln>
            <a:effectLst/>
          </c:spPr>
          <c:marker>
            <c:symbol val="none"/>
          </c:marker>
          <c:cat>
            <c:numRef>
              <c:f>'F6'!$A$3:$A$14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44378</c:v>
                </c:pt>
              </c:numCache>
            </c:numRef>
          </c:cat>
          <c:val>
            <c:numRef>
              <c:f>'F6'!$D$3:$D$14</c:f>
              <c:numCache>
                <c:formatCode>#,##0;\-#,##0;0</c:formatCode>
                <c:ptCount val="12"/>
                <c:pt idx="0">
                  <c:v>5291.3987129999996</c:v>
                </c:pt>
                <c:pt idx="1">
                  <c:v>6888.6162975000007</c:v>
                </c:pt>
                <c:pt idx="2">
                  <c:v>9075.2012660000019</c:v>
                </c:pt>
                <c:pt idx="3">
                  <c:v>12344.712834499998</c:v>
                </c:pt>
                <c:pt idx="4">
                  <c:v>14310.276320249999</c:v>
                </c:pt>
                <c:pt idx="5">
                  <c:v>13562.270864749999</c:v>
                </c:pt>
                <c:pt idx="6">
                  <c:v>12191.89372125</c:v>
                </c:pt>
                <c:pt idx="7">
                  <c:v>14323.94781</c:v>
                </c:pt>
                <c:pt idx="8">
                  <c:v>9625.6356357500008</c:v>
                </c:pt>
                <c:pt idx="9">
                  <c:v>12607.516215999998</c:v>
                </c:pt>
                <c:pt idx="10">
                  <c:v>14464.578571</c:v>
                </c:pt>
                <c:pt idx="11" formatCode="[&gt;=10000000]#\,##\,##\,##0;[&gt;=100000]#\,##\,##0;##,##0">
                  <c:v>6391.1461387500003</c:v>
                </c:pt>
              </c:numCache>
            </c:numRef>
          </c:val>
          <c:smooth val="0"/>
          <c:extLst>
            <c:ext xmlns:c16="http://schemas.microsoft.com/office/drawing/2014/chart" uri="{C3380CC4-5D6E-409C-BE32-E72D297353CC}">
              <c16:uniqueId val="{00000002-5836-4828-8452-E87C46D88D55}"/>
            </c:ext>
          </c:extLst>
        </c:ser>
        <c:dLbls>
          <c:showLegendKey val="0"/>
          <c:showVal val="0"/>
          <c:showCatName val="0"/>
          <c:showSerName val="0"/>
          <c:showPercent val="0"/>
          <c:showBubbleSize val="0"/>
        </c:dLbls>
        <c:marker val="1"/>
        <c:smooth val="0"/>
        <c:axId val="517391696"/>
        <c:axId val="537562256"/>
      </c:lineChart>
      <c:dateAx>
        <c:axId val="53756108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7559512"/>
        <c:crosses val="autoZero"/>
        <c:auto val="1"/>
        <c:lblOffset val="100"/>
        <c:baseTimeUnit val="months"/>
      </c:dateAx>
      <c:valAx>
        <c:axId val="537559512"/>
        <c:scaling>
          <c:orientation val="minMax"/>
        </c:scaling>
        <c:delete val="0"/>
        <c:axPos val="l"/>
        <c:numFmt formatCode="0\,00\,000;\-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37561080"/>
        <c:crosses val="autoZero"/>
        <c:crossBetween val="between"/>
      </c:valAx>
      <c:valAx>
        <c:axId val="5375622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1696"/>
        <c:crosses val="max"/>
        <c:crossBetween val="between"/>
      </c:valAx>
      <c:dateAx>
        <c:axId val="517391696"/>
        <c:scaling>
          <c:orientation val="minMax"/>
        </c:scaling>
        <c:delete val="1"/>
        <c:axPos val="b"/>
        <c:numFmt formatCode="[$-409]mmm\-yy" sourceLinked="1"/>
        <c:majorTickMark val="out"/>
        <c:minorTickMark val="none"/>
        <c:tickLblPos val="nextTo"/>
        <c:crossAx val="53756225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'F7'!$B$2</c:f>
              <c:strCache>
                <c:ptCount val="1"/>
                <c:pt idx="0">
                  <c:v>BSE</c:v>
                </c:pt>
              </c:strCache>
            </c:strRef>
          </c:tx>
          <c:spPr>
            <a:ln w="28575" cap="rnd">
              <a:solidFill>
                <a:schemeClr val="accent1"/>
              </a:solidFill>
              <a:round/>
            </a:ln>
            <a:effectLst/>
          </c:spPr>
          <c:marker>
            <c:symbol val="none"/>
          </c:marker>
          <c:cat>
            <c:numRef>
              <c:f>'F7'!$A$3:$A$14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44379</c:v>
                </c:pt>
              </c:numCache>
            </c:numRef>
          </c:cat>
          <c:val>
            <c:numRef>
              <c:f>'F7'!$B$3:$B$14</c:f>
              <c:numCache>
                <c:formatCode>#,##0;\-#,##0;0</c:formatCode>
                <c:ptCount val="12"/>
                <c:pt idx="0">
                  <c:v>1339.4258</c:v>
                </c:pt>
                <c:pt idx="1">
                  <c:v>618.83699999999999</c:v>
                </c:pt>
                <c:pt idx="2">
                  <c:v>1949.4366000000005</c:v>
                </c:pt>
                <c:pt idx="3">
                  <c:v>3284.3459999999995</c:v>
                </c:pt>
                <c:pt idx="4">
                  <c:v>1087.3935000000001</c:v>
                </c:pt>
                <c:pt idx="5">
                  <c:v>1100.9360999999999</c:v>
                </c:pt>
                <c:pt idx="6">
                  <c:v>5520.3626999999997</c:v>
                </c:pt>
                <c:pt idx="7">
                  <c:v>14649.4748</c:v>
                </c:pt>
                <c:pt idx="8">
                  <c:v>155.46360000000001</c:v>
                </c:pt>
                <c:pt idx="9">
                  <c:v>2276.2072000000003</c:v>
                </c:pt>
                <c:pt idx="10">
                  <c:v>3124.1062999999999</c:v>
                </c:pt>
                <c:pt idx="11" formatCode="_(* #,##0_);_(* \(#,##0\);_(* &quot;-&quot;??_);_(@_)">
                  <c:v>2288.64</c:v>
                </c:pt>
              </c:numCache>
            </c:numRef>
          </c:val>
          <c:smooth val="0"/>
          <c:extLst>
            <c:ext xmlns:c16="http://schemas.microsoft.com/office/drawing/2014/chart" uri="{C3380CC4-5D6E-409C-BE32-E72D297353CC}">
              <c16:uniqueId val="{00000000-30A5-4A58-AFF0-F46806AAB4E5}"/>
            </c:ext>
          </c:extLst>
        </c:ser>
        <c:ser>
          <c:idx val="1"/>
          <c:order val="1"/>
          <c:tx>
            <c:strRef>
              <c:f>'F7'!$C$2</c:f>
              <c:strCache>
                <c:ptCount val="1"/>
                <c:pt idx="0">
                  <c:v>NSE</c:v>
                </c:pt>
              </c:strCache>
            </c:strRef>
          </c:tx>
          <c:spPr>
            <a:ln w="28575" cap="rnd">
              <a:solidFill>
                <a:schemeClr val="accent2"/>
              </a:solidFill>
              <a:round/>
            </a:ln>
            <a:effectLst/>
          </c:spPr>
          <c:marker>
            <c:symbol val="none"/>
          </c:marker>
          <c:cat>
            <c:numRef>
              <c:f>'F7'!$A$3:$A$14</c:f>
              <c:numCache>
                <c:formatCode>[$-409]mmm\-yy</c:formatCode>
                <c:ptCount val="12"/>
                <c:pt idx="0">
                  <c:v>44053</c:v>
                </c:pt>
                <c:pt idx="1">
                  <c:v>44084</c:v>
                </c:pt>
                <c:pt idx="2">
                  <c:v>44114</c:v>
                </c:pt>
                <c:pt idx="3">
                  <c:v>44145</c:v>
                </c:pt>
                <c:pt idx="4">
                  <c:v>44175</c:v>
                </c:pt>
                <c:pt idx="5">
                  <c:v>44206</c:v>
                </c:pt>
                <c:pt idx="6">
                  <c:v>44237</c:v>
                </c:pt>
                <c:pt idx="7">
                  <c:v>44265</c:v>
                </c:pt>
                <c:pt idx="8">
                  <c:v>44296</c:v>
                </c:pt>
                <c:pt idx="9">
                  <c:v>44317</c:v>
                </c:pt>
                <c:pt idx="10">
                  <c:v>44348</c:v>
                </c:pt>
                <c:pt idx="11">
                  <c:v>44379</c:v>
                </c:pt>
              </c:numCache>
            </c:numRef>
          </c:cat>
          <c:val>
            <c:numRef>
              <c:f>'F7'!$C$3:$C$14</c:f>
              <c:numCache>
                <c:formatCode>#,##0;\-#,##0;0</c:formatCode>
                <c:ptCount val="12"/>
                <c:pt idx="0">
                  <c:v>8836.0223354999998</c:v>
                </c:pt>
                <c:pt idx="1">
                  <c:v>7968.2005550000003</c:v>
                </c:pt>
                <c:pt idx="2">
                  <c:v>5969.361613</c:v>
                </c:pt>
                <c:pt idx="3">
                  <c:v>3735.2176584999997</c:v>
                </c:pt>
                <c:pt idx="4">
                  <c:v>5464.1321635000004</c:v>
                </c:pt>
                <c:pt idx="5">
                  <c:v>4093.5442204999999</c:v>
                </c:pt>
                <c:pt idx="6">
                  <c:v>6734.7814850000004</c:v>
                </c:pt>
                <c:pt idx="7">
                  <c:v>4389.8273959999997</c:v>
                </c:pt>
                <c:pt idx="8">
                  <c:v>2364.85</c:v>
                </c:pt>
                <c:pt idx="9">
                  <c:v>2810.9</c:v>
                </c:pt>
                <c:pt idx="10">
                  <c:v>1965.78</c:v>
                </c:pt>
                <c:pt idx="11" formatCode="_(* #,##0_);_(* \(#,##0\);_(* &quot;-&quot;??_);_(@_)">
                  <c:v>2141</c:v>
                </c:pt>
              </c:numCache>
            </c:numRef>
          </c:val>
          <c:smooth val="0"/>
          <c:extLst>
            <c:ext xmlns:c16="http://schemas.microsoft.com/office/drawing/2014/chart" uri="{C3380CC4-5D6E-409C-BE32-E72D297353CC}">
              <c16:uniqueId val="{00000001-30A5-4A58-AFF0-F46806AAB4E5}"/>
            </c:ext>
          </c:extLst>
        </c:ser>
        <c:dLbls>
          <c:showLegendKey val="0"/>
          <c:showVal val="0"/>
          <c:showCatName val="0"/>
          <c:showSerName val="0"/>
          <c:showPercent val="0"/>
          <c:showBubbleSize val="0"/>
        </c:dLbls>
        <c:smooth val="0"/>
        <c:axId val="517393264"/>
        <c:axId val="517392088"/>
      </c:lineChart>
      <c:dateAx>
        <c:axId val="517393264"/>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2088"/>
        <c:crosses val="autoZero"/>
        <c:auto val="1"/>
        <c:lblOffset val="100"/>
        <c:baseTimeUnit val="months"/>
      </c:dateAx>
      <c:valAx>
        <c:axId val="5173920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51739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3.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4.xml><?xml version="1.0" encoding="utf-8"?>
<Klassify>
  <SNO>5</SNO>
  <KDate>2021-03-04 12:15:09</KDate>
  <Classification>SEBI-INTERNAL</Classification>
  <HostName>MUM0111832</HostName>
  <Domain_User>SEBINT/1832</Domain_User>
  <IPAdd>10.88.99.209</IPAdd>
  <FilePath>C:\Users\1832\AppData\Roaming\Klassify\57909\Bulletin-February 2021.docx</FilePath>
  <KID>7427EA48EFCA637066619672483538</KID>
</Klassify>
</file>

<file path=customXml/item5.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6.xml><?xml version="1.0" encoding="utf-8"?>
<Klassify>
  <SNO>4</SNO>
  <KDate>2021-03-04 12:07:01</KDate>
  <Classification>SEBI-INTERNAL</Classification>
  <HostName>MUM0111649</HostName>
  <Domain_User>SEBINT/1649</Domain_User>
  <IPAdd>10.88.99.116</IPAdd>
  <FilePath>C:\Users\1649\AppData\Roaming\Klassify\83779\Bulletin-February 2021.docx</FilePath>
  <KID>7427EA48EFCA637066619672483538</KID>
</Klassify>
</file>

<file path=customXml/item7.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8.xml>
</file>

<file path=customXml/item9.xml>
</file>

<file path=customXml/itemProps1.xml><?xml version="1.0" encoding="utf-8"?>
<ds:datastoreItem xmlns:ds="http://schemas.openxmlformats.org/officeDocument/2006/customXml" ds:itemID="{8A5DE7B4-0207-485C-AD2D-76752FDBC33F}"/>
</file>

<file path=customXml/itemProps10.xml><?xml version="1.0" encoding="utf-8"?>
<ds:datastoreItem xmlns:ds="http://schemas.openxmlformats.org/officeDocument/2006/customXml" ds:itemID="{7B4B9633-FC5B-410A-A765-FAAB11B1D202}">
  <ds:schemaRefs>
    <ds:schemaRef ds:uri="http://schemas.openxmlformats.org/officeDocument/2006/bibliography"/>
  </ds:schemaRefs>
</ds:datastoreItem>
</file>

<file path=customXml/itemProps2.xml><?xml version="1.0" encoding="utf-8"?>
<ds:datastoreItem xmlns:ds="http://schemas.openxmlformats.org/officeDocument/2006/customXml" ds:itemID="{AC874CF5-52D4-4685-80EC-6F1B86646A89}">
  <ds:schemaRefs/>
</ds:datastoreItem>
</file>

<file path=customXml/itemProps3.xml><?xml version="1.0" encoding="utf-8"?>
<ds:datastoreItem xmlns:ds="http://schemas.openxmlformats.org/officeDocument/2006/customXml" ds:itemID="{D7543C77-5EBC-46F2-AC21-5D702358D3EF}">
  <ds:schemaRefs/>
</ds:datastoreItem>
</file>

<file path=customXml/itemProps4.xml><?xml version="1.0" encoding="utf-8"?>
<ds:datastoreItem xmlns:ds="http://schemas.openxmlformats.org/officeDocument/2006/customXml" ds:itemID="{D7543C77-5EBC-46F2-AC21-5D702358D3EF}">
  <ds:schemaRefs/>
</ds:datastoreItem>
</file>

<file path=customXml/itemProps5.xml><?xml version="1.0" encoding="utf-8"?>
<ds:datastoreItem xmlns:ds="http://schemas.openxmlformats.org/officeDocument/2006/customXml" ds:itemID="{982F008C-5608-4977-B1FB-BF780A09BDC2}">
  <ds:schemaRefs/>
</ds:datastoreItem>
</file>

<file path=customXml/itemProps6.xml><?xml version="1.0" encoding="utf-8"?>
<ds:datastoreItem xmlns:ds="http://schemas.openxmlformats.org/officeDocument/2006/customXml" ds:itemID="{D7543C77-5EBC-46F2-AC21-5D702358D3EF}">
  <ds:schemaRefs/>
</ds:datastoreItem>
</file>

<file path=customXml/itemProps7.xml><?xml version="1.0" encoding="utf-8"?>
<ds:datastoreItem xmlns:ds="http://schemas.openxmlformats.org/officeDocument/2006/customXml" ds:itemID="{2C38164C-8094-471D-AC2C-77D018C8E0F2}">
  <ds:schemaRefs/>
</ds:datastoreItem>
</file>

<file path=customXml/itemProps8.xml><?xml version="1.0" encoding="utf-8"?>
<ds:datastoreItem xmlns:ds="http://schemas.openxmlformats.org/officeDocument/2006/customXml" ds:itemID="{F1A90E88-F8CE-47CC-B1F2-2802B9D4F2FE}"/>
</file>

<file path=customXml/itemProps9.xml><?xml version="1.0" encoding="utf-8"?>
<ds:datastoreItem xmlns:ds="http://schemas.openxmlformats.org/officeDocument/2006/customXml" ds:itemID="{FFFCDC47-2152-406C-A3E3-98A02192763B}"/>
</file>

<file path=docProps/app.xml><?xml version="1.0" encoding="utf-8"?>
<Properties xmlns="http://schemas.openxmlformats.org/officeDocument/2006/extended-properties" xmlns:vt="http://schemas.openxmlformats.org/officeDocument/2006/docPropsVTypes">
  <Template>Normal.dotm</Template>
  <TotalTime>0</TotalTime>
  <Pages>74</Pages>
  <Words>17447</Words>
  <Characters>99452</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2</cp:revision>
  <cp:lastPrinted>2021-08-30T04:31:00Z</cp:lastPrinted>
  <dcterms:created xsi:type="dcterms:W3CDTF">2021-09-23T06:23:00Z</dcterms:created>
  <dcterms:modified xsi:type="dcterms:W3CDTF">2021-09-23T06:23:00Z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